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https://www.autoritedelaconcurrence.fr/fr/decision-de-controle-des-concentrations/relative-la-prise-de-controle-exclusif-des-societes-ulis</w:t>
      </w:r>
    </w:p>
    <w:p>
      <w:r>
        <w:t>Pages translated : 2</w:t>
      </w:r>
    </w:p>
    <w:p/>
    <w:p>
      <w:r>
        <w:rPr>
          <w:b/>
        </w:rPr>
        <w:t>[Pages 1–2]</w:t>
      </w:r>
    </w:p>
    <w:p>
      <w:r>
        <w:t xml:space="preserve">FRENCH REPUBLIC  </w:t>
        <w:br/>
        <w:t xml:space="preserve">Decision No. 20-DCC-179 of December 7, 2020  </w:t>
        <w:br/>
        <w:t xml:space="preserve">regarding the exclusive control acquisition of the companies Ulis Automobile and Afterchoc by the Bernier group  </w:t>
        <w:br/>
        <w:t xml:space="preserve">The Competition Authority,  </w:t>
        <w:br/>
        <w:t xml:space="preserve">Having regard to the complete notification file submitted to the mergers department on November 12, 2020, concerning the exclusive control acquisition of the companies Ulis Automobile and Afterchoc by the Bernier group, formalized by a share transfer agreement dated October 14, 2020;  </w:t>
        <w:br/>
        <w:t xml:space="preserve">Having regard to Book IV of the Commercial Code relating to the freedom of prices and competition, and in particular its Articles L. 430-1 to L. 430-7;  </w:t>
        <w:br/>
        <w:t xml:space="preserve">Having regard to the information provided by the notifying party during the investigation;  </w:t>
        <w:br/>
        <w:t xml:space="preserve">Adopts the following decision:  </w:t>
        <w:br/>
        <w:t xml:space="preserve">1. The notified operation consists of the exclusive control acquisition by the Bernier group of the company Ulis Automobile, which operates two car dealerships under the brands Opel, Kia, Suzuki, and Jeep in Gometz-le-Châtel (91) and Massy (91) as well as the company Afterchoc, which operates a body shop in Gometz-le-Châtel (91). It constitutes a concentration operation within the meaning of Article L. 430-1 of the Commercial Code. Given the revenues generated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20-234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