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https://www.autoritedelaconcurrence.fr/fr/decision-de-controle-des-concentrations/relative-la-prise-de-controle-exclusif-des-societes-vajera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18-DCC-86 of May 25, 2018  </w:t>
        <w:br/>
        <w:t xml:space="preserve">regarding the exclusive control acquisition of the companies Vajera, Sodiva,  </w:t>
        <w:br/>
        <w:t xml:space="preserve">Maroleg, Sodiag, and Lacacha by the company ITM Entreprises  </w:t>
        <w:br/>
        <w:t>The Competition Authority,</w:t>
      </w:r>
    </w:p>
    <w:p>
      <w:r>
        <w:t xml:space="preserve">Having regard to the complete notification file submitted to the mergers department on April 20, 2018,  </w:t>
        <w:br/>
        <w:t xml:space="preserve">concerning the exclusive control acquisition of the companies Vajera, Sodival, Maroleg, Sodiag, and Lacacha  </w:t>
        <w:br/>
        <w:t xml:space="preserve">by the company ITM Entreprises, and materialized by the exercise of a purchase option dated  </w:t>
        <w:br/>
        <w:t>March 1, 2018;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 xml:space="preserve">Adopts the following decision:  </w:t>
        <w:br/>
        <w:t xml:space="preserve">1. The notified operation consists of the exclusive control acquisition by the company ITM Entreprises of the  </w:t>
        <w:br/>
        <w:t xml:space="preserve">companies Vajera, Sodival, Maroleg, Sodiag, and Lacacha, each of which operates a food-dominant retail outlet,  </w:t>
        <w:br/>
        <w:t xml:space="preserve">under the brand Intermarché or Netto, in the department of Aisne (02). It constitutes a concentration operation  </w:t>
        <w:br/>
        <w:t xml:space="preserve">within the meaning of Article L. 430-1 of the Commercial Code. Given the revenues generated by the companies  </w:t>
        <w:br/>
        <w:t xml:space="preserve">concerned, the operation does not fall under the jurisdiction of the European Union. However, the control thresholds  </w:t>
        <w:br/>
        <w:t xml:space="preserve">related to retail trade mentioned in point II of Article L. 430-2 of the Commercial Code are exceeded. This operation  </w:t>
        <w:br/>
        <w:t xml:space="preserve">is therefore subject to the provisions of Articles L. 430-3 and following of the Commercial Code relating to economic  </w:t>
        <w:br/>
        <w:t xml:space="preserve">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18-082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