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https://www.autoritedelaconcurrence.fr/fr/decision-de-controle-des-concentrations/relative-la-prise-de-controle-exclusif-des-societes-vinci</w:t>
      </w:r>
    </w:p>
    <w:p>
      <w:r>
        <w:t>Pages translated : 5</w:t>
      </w:r>
    </w:p>
    <w:p/>
    <w:p>
      <w:r>
        <w:rPr>
          <w:b/>
        </w:rPr>
        <w:t>[Pages 1–3]</w:t>
      </w:r>
    </w:p>
    <w:p>
      <w:r>
        <w:t xml:space="preserve">FRENCH REPUBLIC  </w:t>
        <w:br/>
        <w:t xml:space="preserve">Decision No. 14-DCC-32 of March 11, 2014  </w:t>
        <w:br/>
        <w:t>regarding the exclusive control of the companies Vinci Facilities Operations Services France, Energie Sécurité, Faceo Sécurité Prévention, and FMTS by Fiducial Security Services</w:t>
      </w:r>
    </w:p>
    <w:p>
      <w:r>
        <w:t xml:space="preserve">The Competition Authority,  </w:t>
        <w:br/>
        <w:t xml:space="preserve">Having regard to the notification file, submitted in full to the merger service on February 5, 2014, regarding the exclusive control of the companies Vinci Facilities Operations Services France, Energie Sécurité, Faceo Sécurité Prévention, and FMTS by Fiducial Security Services, formalized by a share transfer protocol concluded on December 19, 2013;  </w:t>
        <w:br/>
        <w:t xml:space="preserve">Having regard to Book IV of the Commercial Code relating to the freedom of prices and competition, and in particular its Articles L. 430-1 to L. 430-7;  </w:t>
        <w:br/>
        <w:t xml:space="preserve">Having regard to the supplementary elements submitted by the parties during the investigation;  </w:t>
        <w:br/>
        <w:t>Adopts the following decision:</w:t>
      </w:r>
    </w:p>
    <w:p>
      <w:r>
        <w:t xml:space="preserve">I. The companies concerned and the operation  </w:t>
        <w:br/>
        <w:t xml:space="preserve">A. THE COMPANIES CONCERNED  </w:t>
        <w:br/>
        <w:t xml:space="preserve">1. Fiducial Security Services is a subsidiary of the Fiducial group whose parent company, Fiducial SC, is controlled by Mr. Christian Latouche. The Fiducial group is active in the sectors of auditing and accounting expertise, legal and tax consulting, asset management and financial services, IT services, distribution of office supplies, real estate, and private security services.  </w:t>
        <w:br/>
        <w:t>2. Vinci Facilities Operations Services France, Energie Sécurité, Faceo Sécurité Prévention, and FMTS (hereinafter collectively referred to as "the target companies") are subsidiaries of the Vinci group specialized in providing private security services in France, particularly human guarding/surveillance services, and fire prevention and safety services.</w:t>
      </w:r>
    </w:p>
    <w:p>
      <w:r>
        <w:t xml:space="preserve">3. Under the terms of the share transfer and acquisition protocol signed on December 19, 2013, the transaction involves the acquisition by Fiducial Security Services of the entire capital and voting rights of the companies Vinci Facilities Operations Services France, Energie Sécurité, Faceo Sécurité Prévention, the latter holding the entire capital of FMTS. As it results in the exclusive control of the target companies by the Fiducial group, the transaction constitutes a concentration within the meaning of Article L. 430-1 of the Commercial Code.  </w:t>
        <w:br/>
        <w:t>4. The companies concerned together achieve a total worldwide turnover of more than 150 million euros (Fiducial group: 1.19 billion euros for the fiscal year ending September 30, 2013; the target companies: 82.8 million euros for the fiscal year ending December 31, 2012). Each of these two companies achieves in France a turnover exceeding 50 million euros (Fiducial group: 802 million euros for the fiscal year ending September 30, 2013; the target companies: 82.8 million euros for the fiscal year ending December 31, 2012). Given these turnover figures, the transaction does not fall under the jurisdiction of the European Union.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Delimitation of the relevant markets  </w:t>
        <w:br/>
        <w:t xml:space="preserve">5. The Fiducial group and the target companies are simultaneously active in the private security sector, which concerns "all means, human or technical, implemented to prevent material and physical risks to which businesses or individuals are exposed and to react in case of an incident."  </w:t>
        <w:br/>
        <w:t xml:space="preserve">6. Decision-making practice has identified four markets related to this sector of activity: (i) the market for guarding (or surveillance by agents), (ii) the market for electronic surveillance equipment, (iii) the market for remote surveillance, and (iv) the market for security services for air transport.  </w:t>
        <w:br/>
        <w:t xml:space="preserve">7. In this case, Fiducial and the target companies are simultaneously active in the market for guarding services. Fiducial also operates in the remote surveillance market, which will be analyzed in terms of conglomerate effects.  </w:t>
        <w:br/>
        <w:t>8. Furthermore, the parties to the transaction simultaneously engage in the provision of fire prevention and safety services, which aim to prevent any fire risk at a client company. This activity has not previously been identified by decision-making practice, both at the community and national levels. However, the parties consider it to be a distinct service market.</w:t>
      </w:r>
    </w:p>
    <w:p>
      <w:r>
        <w:t xml:space="preserve">1. THE MARKET FOR GUARDING SERVICES  </w:t>
        <w:br/>
        <w:t xml:space="preserve">9. Decision-making practice has identified the existence of a market for guarding or surveillance services by agents, which encompasses very diverse activities: traditional guarding services (fixed-point guarding or mobile guarding through day or night patrols) and specialized guarding services (reception and access filtering, workstation surveillance, baggage control, and personal control).  </w:t>
        <w:br/>
        <w:t xml:space="preserve">10. Community decision-making practice has considered the existence of a distinct market encompassing concierge services and alarm response services.  </w:t>
        <w:br/>
        <w:t xml:space="preserve">11. In this case, the question of the precise delineation of the market can be left open insofar as, regardless of the segmentation adopted, the conclusions of the competitive analysis will remain unchanged.  </w:t>
        <w:br/>
        <w:t>12. Decision-making practice considers that the guarding market is national in scope, particularly due to specific national regulations and the fact that the marketing of surveillance services by agents does not necessarily require having a network of agencies located near clients.</w:t>
      </w:r>
    </w:p>
    <w:p>
      <w:r>
        <w:t xml:space="preserve">2. THE MARKET FOR REMOTE SURVEILLANCE  </w:t>
        <w:br/>
        <w:t xml:space="preserve">13. Remote surveillance is "a continuous service by which premises are monitored remotely by a surveillance center, triggering, if necessary, a human intervention agreed in advance with the client." Remote surveillance is therefore distinct from video surveillance. Practice has considered, without resolving the issue, the possibility of segmenting this market between remote surveillance for professionals and remote surveillance for individuals.  </w:t>
        <w:br/>
        <w:t xml:space="preserve">14. In this case, however, the question of the precise delineation of the remote surveillance market can be left open insofar as, regardless of the delineation adopted, the conclusions of the competitive analysis will remain unchanged.  </w:t>
        <w:br/>
        <w:t xml:space="preserve">15. Decision-making practice considers that the remote surveillance market and its potential segments are national in scope.  </w:t>
        <w:br/>
        <w:t>16. There is no reason to challenge this delineation in the context of the present transaction.</w:t>
      </w:r>
    </w:p>
    <w:p>
      <w:r>
        <w:t xml:space="preserve">3. THE MARKET FOR FIRE PREVENTION AND SAFETY SERVICES  </w:t>
        <w:br/>
        <w:t>17. The notifying party considers that there exists a market for fire prevention and safety services that is distinct from other security markets. Fire prevention and safety services include all services inherent to the prevention of fire risks, particularly related to the verification of the presence and condition of fire safety equipment.</w:t>
      </w:r>
    </w:p>
    <w:p>
      <w:r>
        <w:rPr>
          <w:b/>
        </w:rPr>
        <w:t>[Pages 4–5]</w:t>
      </w:r>
    </w:p>
    <w:p>
      <w:r>
        <w:t>fire safety, monitoring of the site's fire alarms, detection and analysis of fire risks, as well as coordination of surveillance, security, and intervention teams.</w:t>
      </w:r>
    </w:p>
    <w:p>
      <w:r>
        <w:t>18. In this case, the question of the existence of a market for fire prevention and safety services can be left open insofar as, regardless of the delineation adopted, the conclusions of the competitive analysis will remain unchanged.</w:t>
      </w:r>
    </w:p>
    <w:p>
      <w:r>
        <w:t>19. The parties consider that a potential market for fire prevention and safety services would be national in scope because the marketing of fire prevention and safety services does not necessarily require having a network of agencies located near clients. They further explain that the companies offering this type of service are the same as those present in the market for security services, for which a national dimension has also been retained.</w:t>
      </w:r>
    </w:p>
    <w:p>
      <w:r>
        <w:t>III. COMPETITIVE ANALYSIS</w:t>
      </w:r>
    </w:p>
    <w:p>
      <w:r>
        <w:t>20. The transaction leads to overlaps in activities between the parties in the market for security and human surveillance and in a potential market for fire safety services, on which a horizontal effects analysis should be conducted. Furthermore, these markets being related and Fiducial also being present in the market for remote surveillance, which is related to the two aforementioned markets, it is necessary to analyze the conglomerate effects of the transaction.</w:t>
      </w:r>
    </w:p>
    <w:p>
      <w:r>
        <w:t>A. ANALYSIS OF HORIZONTAL EFFECTS</w:t>
      </w:r>
    </w:p>
    <w:p>
      <w:r>
        <w:t>21. In the national security market, Fiducial holds a market share of 3.2% and the target companies hold a market share of 2.1%. The parties will therefore hold a combined market share of 5.3% and will face competition from numerous operators such as Securitas (11.5% market share), Seris Group (7.2%), Prosegur (3.7%), or Onet Sécurité (3.5%).</w:t>
      </w:r>
    </w:p>
    <w:p>
      <w:r>
        <w:t>22. In the potential national market for fire prevention and safety services, Fiducial represents less than 3% of the market and the target companies represent less than 2% of the market. The parties therefore hold a combined market share of less than 5%.</w:t>
      </w:r>
    </w:p>
    <w:p>
      <w:r>
        <w:t>23. In light of these elements, the transaction is not likely to harm competition through horizontal effects.</w:t>
      </w:r>
    </w:p>
    <w:p>
      <w:r>
        <w:t>B. ANALYSIS OF CONGLOMERATE EFFECTS</w:t>
      </w:r>
    </w:p>
    <w:p>
      <w:r>
        <w:t>24. The transaction leads to a strengthening of Fiducial's position in the markets for security services and fire prevention and safety services. Prior to the transaction, Fiducial was already present in the market for remote surveillance. The three aforementioned markets can be considered related markets insofar as security services, fire prevention and safety services, or remote surveillance services can be provided in a linked manner. It is therefore necessary to examine the existence of potential conglomerate effects generated by the transaction in these markets.</w:t>
      </w:r>
    </w:p>
    <w:p>
      <w:r>
        <w:t>25. However, given the low market shares of the new entity in the various markets of remote surveillance (1.2%), security (5.5%), and fire services (5%), the transaction is not likely to harm competition through conglomerate effects.</w:t>
      </w:r>
    </w:p>
    <w:p>
      <w:r>
        <w:t>DECIDES</w:t>
      </w:r>
    </w:p>
    <w:p>
      <w:r>
        <w:t>Sole Article: The transaction notified under number 14-004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