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https://www.autoritedelaconcurrence.fr/fr/decision-de-controle-des-concentrations/relative-la-prise-de-controle-exclusif-des-societes-vm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24-DCC-63 of April 11, 2024  </w:t>
        <w:br/>
        <w:t xml:space="preserve">regarding the exclusive control acquisition of the companies VM Matériaux and  </w:t>
        <w:br/>
        <w:t>Cominex by the company SAMSE</w:t>
      </w:r>
    </w:p>
    <w:p>
      <w:r>
        <w:t>The Competition Authority,</w:t>
      </w:r>
    </w:p>
    <w:p>
      <w:r>
        <w:t xml:space="preserve">Having regard to the complete notification file sent to the mergers department on March 25, 2024,  </w:t>
        <w:br/>
        <w:t xml:space="preserve">concerning the exclusive control acquisition by the company SAMSE of the companies Financière VM  </w:t>
        <w:br/>
        <w:t>Distribution and Cominex, formalized by the transfer protocol of February 7,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companies Financière VM  </w:t>
        <w:br/>
        <w:t xml:space="preserve">Matériaux and Cominex by the company SAMSE. The parties are active in the sector of  </w:t>
        <w:br/>
        <w:t xml:space="preserve">the trading of construction materials – BTP. The operation constitutes a concentration operation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mentioned in I of Article L. 430-2 of the  </w:t>
        <w:br/>
        <w:t xml:space="preserve">Commercial Code are exceeded. This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24-042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