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https://www.autoritedelaconcurrence.fr/fr/decision-de-controle-des-concentrations/relative-la-prise-de-controle-exclusif-des-societes-wantiez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12-DCC-177 of December 13, 2012  </w:t>
        <w:br/>
        <w:t xml:space="preserve">regarding the exclusive control acquisition of Wantiez SAS and  </w:t>
        <w:br/>
        <w:t xml:space="preserve">Beaumont Automobiles by the company SIMA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22, 2012, concerning the exclusive control acquisition of Wantiez SAS and  </w:t>
        <w:br/>
        <w:t xml:space="preserve">Beaumont Automobiles by the company SIMA, materialized by a synallagmatic promise  </w:t>
        <w:br/>
        <w:t xml:space="preserve">of sale dated November 19,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Wantiez SAS and  </w:t>
        <w:br/>
        <w:t xml:space="preserve">Beaumont Automobiles, which operate Peugeot brand dealerships in Lens and Hénin-  </w:t>
        <w:br/>
        <w:t xml:space="preserve">Beaumont in the Pas de Calais department (62), by the company SIMA, which is itself active  </w:t>
        <w:br/>
        <w:t xml:space="preserve">in the sale of motor vehicles in Ile-de-France, Picardy, and Nord Pas de Calais. It constitutes a concentration operation within the meaning of Article L. 430-1 of the Commercial Code. Given the turnover achieved by the companies concerned,  </w:t>
        <w:br/>
        <w:t xml:space="preserve">the operation does not have a community dimension. On the other hand, the retail control thresholds mentioned in point II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12-197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