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https://www.autoritedelaconcurrence.fr/fr/decision-de-controle-des-concentrations/relative-la-prise-de-controle-exclusif-des-societes-web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17-DCC-233 of December 29, 2017</w:t>
        <w:br/>
        <w:t>regarding the acquisition of exclusive control of the companies Web Auto 18,</w:t>
        <w:br/>
        <w:t>Web Auto 36, and Web Auto 41 by the company Groupe Parot</w:t>
        <w:br/>
        <w:t>The Competition Authority,</w:t>
        <w:br/>
        <w:t>Having regard to the complete notification file submitted to the mergers department on</w:t>
        <w:br/>
        <w:t>December 13, 2017, concerning the acquisition of exclusive control of the companies Web Auto 18,</w:t>
        <w:br/>
        <w:t>Web Auto 36, and Web Auto 41 by the company Groupe Parot, formalized by a letter of intent</w:t>
        <w:br/>
        <w:t>dated November 24, 2017;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transaction consists of the acquisition by the company Groupe Parot of exclusive control</w:t>
        <w:br/>
        <w:t>of the companies Web Auto 18, Web Auto 36, and Web Auto 41, which operate three</w:t>
        <w:br/>
        <w:t>automobile dealerships, primarily of Ford and Land Rover brands, in the</w:t>
        <w:br/>
        <w:t>departments of Cher (18), Indre (36), and Loir-et-Cher (41). It constitutes a</w:t>
        <w:br/>
        <w:t>concentration operation within the meaning of Article L. 430-1 of the Commercial Code. Given the</w:t>
        <w:br/>
        <w:t>turnover generated by the companies concerned, the operation does not fall under the jurisdiction of</w:t>
        <w:br/>
        <w:t>the European Union. However, the retail control thresholds mentioned in II of Article L. 430-2 of the</w:t>
        <w:br/>
        <w:t>Commercial Code are exceeded. This operation is therefore subject to the provisions of Articles L. 430-3</w:t>
        <w:br/>
        <w:t>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notified operation under number 17-279 is authorized.</w:t>
        <w:br/>
        <w:t>The Vice-President,</w:t>
        <w:br/>
        <w:t>Claire Favre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