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https://www.autoritedelaconcurrence.fr/fr/decision-de-controle-des-concentrations/relative-la-prise-de-controle-exclusif-desterra-par-veolia</w:t>
      </w:r>
    </w:p>
    <w:p>
      <w:r>
        <w:t>Pages translated : 7</w:t>
      </w:r>
    </w:p>
    <w:p/>
    <w:p>
      <w:r>
        <w:rPr>
          <w:b/>
        </w:rPr>
        <w:t>[Pages 1–3]</w:t>
      </w:r>
    </w:p>
    <w:p>
      <w:r>
        <w:t xml:space="preserve">FRENCH REPUBLIC  </w:t>
        <w:br/>
        <w:t xml:space="preserve">Decision No. 14-DCC-108 of August 4, 2014  </w:t>
        <w:br/>
        <w:t xml:space="preserve">regarding the exclusive control of Esterra by Veolia Propreté  </w:t>
        <w:br/>
        <w:t xml:space="preserve">The Competition Authority,  </w:t>
        <w:br/>
        <w:t xml:space="preserve">Having regard to the notification file submitted in full to the merger service on July 4, 2014, regarding the exclusive control of Esterra by Veolia Propreté formalized by a promise of sale and purchase dated December 3, 2012, whose option was exercised by Veolia Propreté in a letter dated April 11, 2014;  </w:t>
        <w:br/>
        <w:t xml:space="preserve">Having regard to Book IV of the Commercial Code concerning price freedom and competition, and in particular its Articles L. 430-1 to L. 430-7;  </w:t>
        <w:br/>
        <w:t xml:space="preserve">Having regard to the supplementary elements transmitted by the parties during the investigation;  </w:t>
        <w:br/>
        <w:t xml:space="preserve">Adopts the following decision:  </w:t>
        <w:br/>
        <w:t xml:space="preserve">I. The concerned companies and the operation  </w:t>
        <w:br/>
        <w:t xml:space="preserve">1. Veolia Propreté is active in the waste collection, recycling, and treatment sector. It is a 100% subsidiary of Veolia Environnement, which operates in four sectors: water, energy, cleanliness, and transport via Transdev, a joint subsidiary with the Caisse des dépôts et consignations.  </w:t>
        <w:br/>
        <w:t xml:space="preserve">2. Esterra is active in the waste collection, treatment, and recycling sector in the Lille metropolitan area and, to a lesser extent, in the urban and industrial cleaning sector. The capital of Esterra is held 50% by Veolia Propreté and 50% by Suez Environnement and Sita, a subsidiary of Suez Environnement in waste management (hereinafter "Sita").  </w:t>
        <w:br/>
        <w:t>3. Under the statutes of Esterra and the shareholders' agreement related to it, its board of directors is composed of […] members, of which […] are appointed by Veolia Propreté and […] by Sita. Strategic decisions (approvals of the annual budget, appointment of the Chief Executive Officer, recruitment of senior executives) are adopted by a majority of [Confidential]. It follows that prior to the operation, Veolia Propreté and Sita exercised joint control over Esterra.</w:t>
      </w:r>
    </w:p>
    <w:p>
      <w:r>
        <w:t xml:space="preserve">4. The operation, formalized by a promise of sale and purchase dated December 3, 2012, whose option was exercised by Veolia Propreté in a letter dated April 11, 2014, consists of the acquisition by Veolia Propreté of all the shares of Esterra currently held by Sita.  </w:t>
        <w:br/>
        <w:t xml:space="preserve">5. As it results in the transition from joint control to exclusive control by Veolia Propreté over Esterra, the operation constitutes a concentration operation within the meaning of Article L. 430-1 of the Commercial Code.  </w:t>
        <w:br/>
        <w:t xml:space="preserve">6. The companies concerned together achieve a total worldwide turnover of more than 150 million euros (Veolia Environnement: 22.3 billion euros in 2013; Esterra: 93.7 million euros for the same period). At least two of these companies achieve in France a turnover exceeding 50 million euros (Veolia Environnement: 11.3 billion euros in 2013, Esterra: 93.7 million euros for the same period).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II. Delimitation of the relevant markets  </w:t>
        <w:br/>
        <w:t xml:space="preserve">7. The parties are present in the waste sector, which includes the activities of collection, transport, treatment, reuse, and disposal of waste. Decision-making practice, both community and national1, considers that the waste management sector comprises two stages: collection and treatment, with treatment consisting either of waste disposal or its recovery. Furthermore, the European Commission2 has distinguished within treatment a specific sorting activity. In this case, the parties are simultaneously active in the markets for the collection and recovery of waste. The parties also offer public authorities urban cleaning services as well as services to waste disposal sites.  </w:t>
        <w:br/>
        <w:t xml:space="preserve">A. THE MARKETS FOR WASTE COLLECTION  </w:t>
        <w:br/>
        <w:t xml:space="preserve">8. The French and community competition authorities3 consider that there are as many service markets as there are major types of waste: hazardous waste or special industrial waste, non-hazardous waste or ordinary waste, and specific waste. In this case, the parties are simultaneously active in the markets for the collection of ordinary waste and hazardous waste.  </w:t>
        <w:br/>
        <w:t xml:space="preserve">1 See in particular the decision of the Competition Authority No. 10-DCC-114 of September 10, 2010, regarding the exclusive control of ISS Environnement by Paprec France, the letter from the Minister of Economy C2007-168 of January 23, 2008, and the decisions of the European Commission IV/M.916 Lyonnaise des Eaux / Suez and IV/M.1059 Suez Lyonnaise des Eaux / BFI.  </w:t>
        <w:br/>
        <w:t xml:space="preserve">2 Decision of the European Commission COMP/M.5464, Veolia Eau / Société des eaux de Marseille / Société des eaux d’Arles / Société Stéphanoise des eaux.  </w:t>
        <w:br/>
        <w:t>3 See the aforementioned decisions.</w:t>
      </w:r>
    </w:p>
    <w:p>
      <w:r>
        <w:t xml:space="preserve">1. THE COLLECTION OF HAZARDOUS WASTE  </w:t>
        <w:br/>
        <w:t xml:space="preserve">a) Service Markets  </w:t>
        <w:br/>
        <w:t xml:space="preserve">9. Hazardous waste is waste containing, in varying quantities, toxic or hazardous elements, of an organic nature (solvents, hydrocarbons) or mineral nature (acids, surface treatment baths, foundry sands, metallic hydroxide sludges). Under national law, waste is considered hazardous if it exhibits one or more of the properties listed in Annex I of the decree of April 18, 2002, concerning waste classification: explosive, oxidizing, flammable, irritant, harmful, toxic, carcinogenic, corrosive, infectious, toxic for reproduction, mutagenic, ecotoxic. National and community decision-making practice4 has considered that the collection of this waste is likely to form a distinct market insofar as this service must be performed by specialized companies, from their place of production to their disposal or recovery site. Indeed, hazardous waste cannot be deposited in treatment or transit facilities receiving other categories of waste.  </w:t>
        <w:br/>
        <w:t xml:space="preserve">10. In this case, both parties are active in the collection of hazardous waste.  </w:t>
        <w:br/>
        <w:t xml:space="preserve">b) Geographic Markets  </w:t>
        <w:br/>
        <w:t xml:space="preserve">11. National and community competition authorities have retained a national dimension for the market of hazardous waste collection.  </w:t>
        <w:br/>
        <w:t xml:space="preserve">2. THE COLLECTION OF NON-HAZARDOUS WASTE  </w:t>
        <w:br/>
        <w:t xml:space="preserve">a) Service Markets  </w:t>
        <w:br/>
        <w:t xml:space="preserve">12. Non-hazardous waste is segmented between household and similar waste ("MSW") on the one hand, and ordinary business waste ("C&amp;I waste")5 on the other. The collection of the latter includes several types of collection: mixed collection, selective collection, mono-material collection (scrap metal, wood, plastics). The minister, in his decision C2007-168, however, conducted a global analysis of these different types of collection. Furthermore, within C&amp;I waste, the Commission and the minister identified a distinct relevant market comprising the collection and treatment of scrap metal, possibly segmented between carbon steel scrap and stainless steel scrap6.  </w:t>
        <w:br/>
        <w:t xml:space="preserve">13. In this case, the parties are simultaneously present in the segments of MSW and C&amp;I waste. Given the volumes collected by the parties, it is not necessary in this case to rule on the relevance of a separate analysis for the collection and treatment of scrap metal, as the results of the competitive analysis remain unchanged.  </w:t>
        <w:br/>
        <w:t xml:space="preserve">4 See the aforementioned decision C2007-168 and the decision of the European Commission IV/M.916 Lyonnaise des Eaux / Suez  </w:t>
        <w:br/>
        <w:t xml:space="preserve">5 See the aforementioned decision C2007-168 and the decision of the European Commission IV/M.916 Lyonnaise des Eaux / Suez  </w:t>
        <w:br/>
        <w:t>6 See the aforementioned decision C2007-168 and the decision of the European Commission COMP/M.4495 Alfa Acciai / Cronimet / Remondis / TSR Group</w:t>
      </w:r>
    </w:p>
    <w:p>
      <w:r>
        <w:rPr>
          <w:b/>
        </w:rPr>
        <w:t>[Pages 4–6]</w:t>
      </w:r>
    </w:p>
    <w:p>
      <w:r>
        <w:t xml:space="preserve">b) Geographic Markets  </w:t>
        <w:br/>
        <w:t xml:space="preserve">14. In the aforementioned decisions, the Commission considered that the markets for the collection of MSW and C&amp;I waste are national in scope, given the tender procedures used by local authorities or waste-producing companies. However, regarding C&amp;I waste, the minister noted that SMEs might be encouraged to choose a provider at the local level. In this case, the parties are simultaneously active in the Nord department. As the conclusions of the analysis remain unchanged, the question of the geographic delimitation of these markets can, however, remain open.  </w:t>
        <w:br/>
        <w:t xml:space="preserve">15. Finally, for the scrap metal segment, the European Commission indicated, while leaving the question open, that the geographic market could be delimited by areas with a radius of 200 km. Since the parties' sites do not overlap in this type of collection, it is not necessary to rule on the exact delimitation of the scrap metal collection segment.  </w:t>
        <w:br/>
        <w:t xml:space="preserve">B. MARKETS FOR WASTE RECOVERY  </w:t>
        <w:br/>
        <w:t xml:space="preserve">16. In contrast to disposal, recovery involves the treatment of waste with the aim of reselling it to industries consuming recycled waste (material recovery) or producing energy (energy recovery). For the purposes of the analysis, the term "recovery" only covers material recovery.  </w:t>
        <w:br/>
        <w:t xml:space="preserve">a) Service Markets  </w:t>
        <w:br/>
        <w:t xml:space="preserve">17. The minister, in his decision C2007-168, segmented waste recovery into as many markets as there are types of materials to be recovered: scrap metal, glass, paper-cardboard, plastics, wood. He thus distinguished for his analysis a market for the recovery of metal waste, a market for the recovery of wood waste, and a market for the recovery of paper and cardboard. Regarding paper and cardboard waste, the minister retained a global market for the recovery of paper and cardboard. Similarly, he retained a global market for the recovery of wood waste. Concerning metal waste, this category includes ferrous metals, non-ferrous metals, and metal from the deconstruction of End-of-Life Vehicles (“ELVs”). The recyclable materials mainly come from new scrap resulting from steel processing and recovered scrap. However, the minister considered for his analysis a global market for metal waste as it appears that there is a high substitutability between these different types of scrap, both on the demand side and the supply side, with providers recovering the different types of scrap indiscriminately, regardless of their origin. Furthermore, the European Commission adopted the segmentation made by the minister and distinguished a new market, that of the recovery of sewage sludge.  </w:t>
        <w:br/>
        <w:t xml:space="preserve">18. In this case, the parties are concurrently engaged in the recovery of paper and cardboard waste and scrap metal. Each of these markets will therefore be subject to a competitive analysis.  </w:t>
        <w:br/>
        <w:t xml:space="preserve">b) Geographic Markets  </w:t>
        <w:br/>
        <w:t xml:space="preserve">19. The minister considered that the market for waste recovery has a national dimension. Indeed, certain materials may have a sufficiently high economic value to justify that transportation costs, even significant, remain negligible in relation to the recovery they undergo. Moreover, recycling facilities do not always provide as extensive local coverage as treatment facilities. Finally, it appears that in these markets, operators of national size are active throughout the territory. Both on the supply and demand sides, the competitive conditions can therefore be considered homogeneous in France.  </w:t>
        <w:br/>
        <w:t xml:space="preserve">C. MARKETS FOR CLEANING  </w:t>
        <w:br/>
        <w:t xml:space="preserve">a) Service Markets  </w:t>
        <w:br/>
        <w:t xml:space="preserve">20. The Commission has had the opportunity to segment this sector based on the identity of the client, distinguishing urban cleaning and industrial cleaning. Urban cleaning mainly involves cleaning public infrastructures and urban sanitation networks under contracts with local authorities. Industrial cleaning encompasses the cleaning of professional premises (administrative, commercial), industrial facilities, production tools, machines, or tanks. In this case, the parties are active in the urban cleaning market. They also offer tank cleaning services. However, due to the extremely low turnover generated by Esterra in this activity, the industrial cleaning market will not be subject to a specific analysis. In any case, the question of market delimitation can remain open, with the conclusions of the competitive analysis remaining unchanged regardless of the delimitation retained.  </w:t>
        <w:br/>
        <w:t xml:space="preserve">b) Geographic Markets  </w:t>
        <w:br/>
        <w:t xml:space="preserve">21. Regarding the geographic dimension of the cleaning markets, the Commission has already had the opportunity to adopt a national framework. In this case, the question of the geographic delimitation of the market can remain open.  </w:t>
        <w:br/>
        <w:t xml:space="preserve">D. THE MARKET FOR SERVICES TO WASTE DISPOSAL SITES  </w:t>
        <w:br/>
        <w:t xml:space="preserve">a) Service Market  </w:t>
        <w:br/>
        <w:t xml:space="preserve">22. The Authority, without deciding on the question of its exact delimitation, has considered the existence of a market for services related to waste disposal sites. These services can range from simple waste removal to the complete delegated management of a waste disposal site.  </w:t>
        <w:br/>
        <w:t xml:space="preserve">23. Both parties offer services to waste disposal sites. However, the question of the precise delimitation of this market can, in this case, remain open due to the very weak position of the parties in this segment.  </w:t>
        <w:br/>
        <w:t xml:space="preserve">b) Geographic Markets  </w:t>
        <w:br/>
        <w:t xml:space="preserve">24. The Authority retained a national delimitation of this segment for the purposes of its analysis, without, however, deciding on the question of its precise geographic delimitation.  </w:t>
        <w:br/>
        <w:t xml:space="preserve">III. Competitive Analysis  </w:t>
        <w:br/>
        <w:t xml:space="preserve">25. As a preliminary point, it should be noted that the operation consists of the transition from the joint control of Esterra by Suez Environnement and Veolia Propreté to the exclusive control of Esterra by Veolia Propreté. However, in several previous cases, both national and European competition authorities have emphasized that the transition from joint control to exclusive control is generally not in itself likely to significantly alter the conditions of competition. However, in more complex cases concerning, in particular, parties in a competitive situation prior to the concentration, the fact that the acquirer already exercises joint control has not prevented competition authorities from carefully analyzing the effects of the operation on competition.  </w:t>
        <w:br/>
        <w:t xml:space="preserve">26. However, in the present case, it appears from the notification that the parties did not simultaneously submit bids for public tenders prior to the operation, with Veolia Propreté only participating in the relevant markets through Esterra. As a result, in these markets, the transition from joint control to exclusive control by Veolia over Esterra will not result in a reduction in the number of competitors present, and the competitive situation will therefore remain unchanged.  </w:t>
        <w:br/>
        <w:t>27. In any event, the market share additions resulting from the operation are very limited. Indeed, in terms of waste collection, at the national level, the increment resulting from the operation does not exceed [0-5]% regardless of the segmentation retained, with the new entity representing approximately [20-30]% of hazardous waste collection, [10-20]% of MSW collection, and [10-20]% of C&amp;I waste collection. Furthermore, at the local level, the parties' activities only overlap in the market for C&amp;I waste collection in the department of</w:t>
      </w:r>
    </w:p>
    <w:p>
      <w:r>
        <w:rPr>
          <w:b/>
        </w:rPr>
        <w:t>[Pages 7–7]</w:t>
      </w:r>
    </w:p>
    <w:p>
      <w:r>
        <w:t xml:space="preserve">Nord where Esterra holds, according to the parties' estimates, a market share of approximately [10-20]% while Veolia Propreté represents about [0-5]% of the market.  </w:t>
        <w:br/>
        <w:t xml:space="preserve">28. Similarly, the new entity will represent less than [20-30]% of the market for the recovery of paper and cardboard and less than [5-10]% of the market for the recovery of scrap metal. Finally, the new entity will not represent more than [5-10]% of the urban cleaning market and [5-10]% of the market for services to waste disposal sites.  </w:t>
        <w:br/>
        <w:t xml:space="preserve">29. The transaction is therefore not likely to harm competition in the relevant markets.  </w:t>
        <w:br/>
        <w:t xml:space="preserve">DECIDES  </w:t>
        <w:br/>
        <w:t xml:space="preserve">Sole Article: The transaction notified under number 14-085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