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https://www.autoritedelaconcurrence.fr/fr/decision-de-controle-des-concentrations/relative-la-prise-de-controle-exclusif-deurochem-holding-bv</w:t>
      </w:r>
    </w:p>
    <w:p>
      <w:r>
        <w:t>Pages translated : 3</w:t>
      </w:r>
    </w:p>
    <w:p/>
    <w:p>
      <w:r>
        <w:rPr>
          <w:b/>
        </w:rPr>
        <w:t>[Pages 1–3]</w:t>
      </w:r>
    </w:p>
    <w:p>
      <w:r>
        <w:t xml:space="preserve">FRENCH REPUBLIC  </w:t>
        <w:br/>
        <w:t xml:space="preserve">Decision No. 10-DEX-02 of October 1, 2010  </w:t>
        <w:br/>
        <w:t xml:space="preserve">regarding the exclusive control of Eurochem Holding B.V. by  </w:t>
        <w:br/>
        <w:t xml:space="preserve">Univar Europe Holdings B.V.  </w:t>
        <w:br/>
        <w:t xml:space="preserve">The Competition Authority,  </w:t>
        <w:br/>
        <w:t xml:space="preserve">Having regard to the notification file submitted to the European Commission on May 28, 2010, and received by the Competition Authority on June 1, 2010, regarding the exclusive control of Eurochem Holding B.V. by Univar Europe Holdings B.V., formalized by a share transfer and acquisition agreement dated February 5, 2010, and amended by an addendum dated August 6, 2010;  </w:t>
        <w:br/>
        <w:t xml:space="preserve">Having regard to the decision taken by the European Commission on July 16, 2010, pursuant to Article 9(3)(b) of Council Regulation (EC) No. 139/2004;  </w:t>
        <w:br/>
        <w:t xml:space="preserve">Having regard to the commitments submitted by the parties on August 4, 2010;  </w:t>
        <w:br/>
        <w:t xml:space="preserve">Having regard to the letter from the Competition Authority dated September 9, 2010, which, pursuant to Article L. 430-5 II third paragraph of the Commercial Code, suspends the examination deadlines for the transaction by fifteen working days at the request of the parties;  </w:t>
        <w:br/>
        <w:t xml:space="preserve">Having regard to Book IV of the Commercial Code relating to price freedom and competition, and in particular Articles L. 430-1 to L. 430-7;  </w:t>
        <w:br/>
        <w:t xml:space="preserve">Adopts the following decision:  </w:t>
        <w:br/>
        <w:t xml:space="preserve">1. Univar Europe Holdings B.V. (hereinafter "Univar") is active in the chemical distribution sector primarily in Europe and North America. Univar is controlled by funds managed by CVC Capital Partners SICAV-FIS S.A. (hereinafter "CVC"). CVC consists of private advisory entities that engage in investment advisory or asset management activities on behalf of investment funds. These investment funds hold control in numerous companies across various sectors, including chemicals, automotive, utilities, industry, retail, and distribution in Europe and the Asia-Pacific region. Aside from Univar, the CVC group does not control any other company operating in the chemical distribution sector. Nevertheless, CVC exclusively controls Taminco N.V. and jointly controls Evonik Industries AG, two companies active in the chemical manufacturing sector. In 2008, the total consolidated global turnover of the CVC group amounted to approximately […] billion euros excluding taxes and to […] billion euros excluding taxes in the European Union, of which […] billion euros in France.  </w:t>
        <w:br/>
        <w:t xml:space="preserve">2. Eurochem Holding B.V. (hereinafter "Eurochem") operates under the name Quaron in the chemical distribution sector primarily in the Netherlands, Belgium, and France. Its distribution activity covers a wide range of industrial chemical products. In 2008, the total consolidated turnover of the Eurochem group amounted to […] million euros excluding taxes, of which […] million euros excluding taxes in the European Union and […] million euros in France.  </w:t>
        <w:br/>
        <w:t xml:space="preserve">3. Pursuant to the provisions of the share transfer agreement dated February 5, 2010, Univar will hold, upon completion of the transaction, all the shares of Eurochem and will consequently take exclusive control of Eurochem.  </w:t>
        <w:br/>
        <w:t xml:space="preserve">4. The transaction was notified to the European Commission on May 28, 2010, as the community thresholds were met. Indeed, (i) the total global turnover achieved by all the concerned companies exceeds 2.5 billion euros (in 2008, CVC: […] billion euros), (ii) the total turnover achieved by all the concerned companies in at least three Member States exceeds 100 million euros (in 2008, CVC: […] million euros in Belgium, […] million euros in France, and […] million euros in the Netherlands), (iii) in each of these three Member States, the total turnover achieved by CVC and Eurochem exceeds 25 million euros (Eurochem: […] million euros in Belgium, […] million euros in France, and […] million euros in the Netherlands), (iv) the turnover achieved in the Union by each of the concerned companies exceeds 100 million euros (CVC: […] million euros, Eurochem: […] million euros), and (v) neither CVC nor Eurochem achieves more than two-thirds of their turnover in the Union in a single Member State.  </w:t>
        <w:br/>
        <w:t xml:space="preserve">5. However, by letter dated June 22, 2010, the Competition Authority requested a partial referral of the transaction for the part of the concentration relating to France, pursuant to Article 9(2)(a) of Council Regulation (EC) No. 139/2004 on concentrations, in order to examine it under national competition law. The Competition Authority indeed considered that the market for the distribution of chemical commodities was at most of national dimension and that the transaction threatened to significantly affect competition in this market through, on the one hand, horizontal effects and, on the other hand, the risk of coordination of the competitive behaviors of the remaining players. The European Commission decided, on July 16, 2010, to refer the transaction to the Competition Authority pursuant to Article 9(3)(b) of the aforementioned regulation.  </w:t>
        <w:br/>
        <w:t xml:space="preserve">6. The part relating to France of the exclusive control transaction of Eurochem by Univar is therefore subject, pursuant to point V of Article L. 430-2 of the Commercial Code, to French concentration control.  </w:t>
        <w:br/>
        <w:t xml:space="preserve">7. The examination provided for in I of Article L. 430-5 of the Commercial Code has raised serious doubts regarding competition. The transaction indeed leads to significant overlaps in activity in French territory, both at the national and regional levels. The commitments proposed by the parties on August 4, 2010, pursuant to Article L 430-5 II of the Commercial Code, do not, at this stage of the investigation, resolve these doubts.  </w:t>
        <w:br/>
        <w:t>8. It is therefore necessary to initiate a thorough examination, pursuant to III of Article L. 430-5 of the Commercial Code.</w:t>
      </w:r>
    </w:p>
    <w:p>
      <w:r>
        <w:t xml:space="preserve">DECIDES  </w:t>
        <w:br/>
        <w:t xml:space="preserve">Sole Article: The transaction notified under number 10-105 is subject to a thorough examination under the conditions provided for in Article L. 430-6 of the Commercial Code.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