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https://www.autoritedelaconcurrence.fr/fr/decision-de-controle-des-concentrations/relative-la-prise-de-controle-exclusif-deuropa-group-par</w:t>
      </w:r>
    </w:p>
    <w:p>
      <w:r>
        <w:t>Pages translated : 12</w:t>
      </w:r>
    </w:p>
    <w:p/>
    <w:p>
      <w:r>
        <w:rPr>
          <w:b/>
        </w:rPr>
        <w:t>[Pages 1–3]</w:t>
      </w:r>
    </w:p>
    <w:p>
      <w:r>
        <w:t>FRENCH REPUBLIC</w:t>
        <w:br/>
        <w:t>Decision No. 20-DCC-64 of May 7, 2020</w:t>
        <w:br/>
        <w:t>regarding the exclusive control of Europa Group by</w:t>
        <w:br/>
        <w:t>Comexposium</w:t>
        <w:br/>
        <w:t>The Competition Authority,</w:t>
        <w:br/>
        <w:t>Having regard to the notification file submitted in full to the merger service on March 3, 2020,</w:t>
        <w:br/>
        <w:t>regarding the exclusive control of Europa Group by Comexposium, formalized by a share transfer</w:t>
        <w:br/>
        <w:t>agreement dated December 19, 2019;</w:t>
        <w:br/>
        <w:t>Having regard to Book IV of the Commercial Code relating to price freedom and competition, and</w:t>
        <w:br/>
        <w:t>notably its Articles L. 430-1 to L. 430-7;</w:t>
        <w:br/>
        <w:t>Having regard to the supplementary elements transmitted by the notifying party during the</w:t>
        <w:br/>
        <w:t>investigation;</w:t>
        <w:br/>
        <w:t>Adopts the following decision:</w:t>
      </w:r>
    </w:p>
    <w:p>
      <w:r>
        <w:t>I. The Companies Involved and the Operation</w:t>
        <w:br/>
        <w:t>1. Comexposium Holding (hereinafter, "Comexposium") is a public limited company jointly owned</w:t>
        <w:br/>
        <w:t>and controlled by the Paris Île-de-France Chamber of Commerce and Industry (hereinafter, "CCIR")</w:t>
        <w:br/>
        <w:t>and Predica Prévoyance Dialogue (hereinafter, "Predica"). Comexposium specializes in organizing</w:t>
        <w:br/>
        <w:t>fairs and exhibitions covering nearly twenty sectors of activity, aimed at the general public and</w:t>
        <w:br/>
        <w:t>professionals. Marginally, Comexposium is active in organizing congresses and other events.</w:t>
        <w:br/>
        <w:t>2. The CCIR was created by Decree No. 2012-595 of April 27, 2012, under which the chambers of</w:t>
        <w:br/>
        <w:t>commerce and industry of Essonne, Seine-et-Marne, Hauts-de-Seine, Paris, Seine-Saint-Denis,</w:t>
        <w:br/>
        <w:t>Val-de-Marne, Val-d'Oise, and Yvelines were merged on January 1, 2013, into a single regional</w:t>
        <w:br/>
        <w:t>chamber of commerce and industry. The CCIR is a public administrative establishment of an economic</w:t>
        <w:br/>
        <w:t>nature placed under the supervision of the State and administered by business leaders elected by their</w:t>
        <w:br/>
        <w:t>peers. Pursuant to Article L.710-1 of the Commercial Code, the network of chambers of commerce</w:t>
        <w:br/>
        <w:t>and industry must contribute to the economic development of territories, businesses, and their</w:t>
        <w:br/>
        <w:t>associations by fulfilling public service missions, of general interest and collective interest. They</w:t>
        <w:br/>
        <w:t>have a function of representing the interests of industry, commerce, and services before public</w:t>
        <w:br/>
        <w:t>authorities. The CCIR jointly controls, with Unibail, the company Viparis, active in the sector of</w:t>
        <w:br/>
        <w:t>managing sites dedicated to hosting congresses, fairs, and exhibitions.</w:t>
        <w:br/>
        <w:t>3. Predica is a company wholly owned by the Crédit Agricole group (hereinafter "CGA"), which is</w:t>
        <w:br/>
        <w:t>itself owned by 39 regional funds. CGA is primarily active in the banking, insurance, and real estate</w:t>
        <w:br/>
        <w:t>sectors. Predica is particularly active in the personal insurance market, notably in life insurance,</w:t>
        <w:br/>
        <w:t>savings, and retirement, aimed at individuals and businesses. Predica owns a conference center located</w:t>
        <w:br/>
        <w:t>in Massy (91).</w:t>
        <w:br/>
        <w:t>4. Europa Group (hereinafter, "Europa"), a simplified joint-stock company ultimately controlled by</w:t>
        <w:br/>
        <w:t>its founders, Mr. and Mrs. Doncieux, is the parent company of the Europa group. The Europa group is</w:t>
        <w:br/>
        <w:t>primarily active in the sector of organizing congresses and other events, particularly in the medical</w:t>
        <w:br/>
        <w:t>sector, through the companies Europa Group and Insight Outside. The Europa group also offers its</w:t>
        <w:br/>
        <w:t>clients ancillary services to the organization of congresses, such as multimedia support, welcoming</w:t>
        <w:br/>
        <w:t>participants, or hotel booking services through its subsidiary Europa Booking and Services. Finally,</w:t>
        <w:br/>
        <w:t>the Europa group is active in the publishing sector of publications in the medical field and public</w:t>
        <w:br/>
        <w:t>relations specialized in the medical field.</w:t>
        <w:br/>
        <w:t>5. The operation consists of the acquisition by Comexposium of […] % of the capital and voting rights</w:t>
        <w:br/>
        <w:t>of Europa. As it results in the exclusive control of Europa by Comexposium, the notified operation</w:t>
        <w:br/>
        <w:t>constitutes a concentration within the meaning of Article L. 430-1 of the Commercial Code.</w:t>
        <w:br/>
        <w:t>6. The companies involved together generate a total worldwide turnover of more than 150 million euros</w:t>
        <w:br/>
        <w:t>(Comexposium: [≥150 million] euros for the fiscal year ending December 31, 2018; Europa: [≤150</w:t>
        <w:br/>
        <w:t>million] euros for the same fiscal year). Each of these companies generates, in France, a turnover</w:t>
        <w:br/>
        <w:t>exceeding 50 million euros (Comexposium: [≥50 million] euros for the fiscal year ending December</w:t>
        <w:br/>
        <w:t>31, 2018; Europa: [≥50 million] euros for the same fiscal year). Given these turnover figures, the</w:t>
        <w:br/>
        <w:t>operation does not have a European dimension. However, the control thresholds mentioned in I of</w:t>
        <w:br/>
        <w:t>Article L. 430-2 of the Commercial Code are exceeded. This operation is therefore subject to the</w:t>
        <w:br/>
        <w:t>provisions of Articles L. 430-3 and following of the Commercial Code, relating to economic</w:t>
        <w:br/>
        <w:t>concentration.</w:t>
        <w:br/>
        <w:t>II. Delimitation of Relevant Markets</w:t>
        <w:br/>
        <w:t>7. The activities of the parties overlap in the market for organizing congresses and other events (A)</w:t>
        <w:br/>
        <w:t>and the provision of ancillary services (B). The markets for the management of sites capable of hosting</w:t>
        <w:br/>
        <w:t>congresses (C) and for publishing (D) will also be considered in terms of the non-horizontal effects of</w:t>
        <w:br/>
        <w:t>the operation.</w:t>
        <w:br/>
        <w:t>A. MARKET FOR ORGANIZING CONGRESSES AND OTHER EVENTS</w:t>
        <w:br/>
        <w:t>1. PRODUCT MARKET</w:t>
        <w:br/>
        <w:t>8. The organization of events (fairs, exhibitions, congresses, conferences, conventions, etc.) connects</w:t>
        <w:br/>
        <w:t>learned societies, businesses, or professional federations and unions with specialists in the field of</w:t>
        <w:br/>
        <w:t>organization. There are three types of event organizers: ad hoc structures created at the initiative of</w:t>
        <w:br/>
        <w:t>unions or federations, generalist companies, professionals in organization or communication, often</w:t>
        <w:br/>
        <w:t>stemming from press groups or publishers, and finally, specialized organizing companies in a specific</w:t>
        <w:br/>
        <w:t>sector.</w:t>
        <w:br/>
        <w:t>9. The Minister of Economy distinguished the market for organizing fairs and exhibitions from the</w:t>
        <w:br/>
        <w:t>market for organizing congresses and other events (congresses, exhibitions, conferences, or conventions).</w:t>
        <w:br/>
        <w:t>He noted that, from the demand side, fairs and exhibitions respond to the needs of a grouping of</w:t>
        <w:br/>
        <w:t>businesses, possibly represented by a professional federation, while congresses meet the needs of a single</w:t>
        <w:br/>
        <w:t>organization such as a learned society, a public or semi-public body, a research center, or a specific</w:t>
        <w:br/>
        <w:t>company. From the supply side, the Minister observed that companies were specialized in one or the</w:t>
        <w:br/>
        <w:t>other of the activities that require different expertise.</w:t>
        <w:br/>
        <w:t>10. There is no need to challenge this market delimitation in this case. Comexposium and Europa are</w:t>
        <w:br/>
        <w:t>simultaneously active in the market for organizing congresses and other events.</w:t>
        <w:br/>
        <w:t>2. GEOGRAPHICAL MARKET</w:t>
        <w:br/>
        <w:t>11. In its opinion No. 07-A-10 of September 26, 2007, regarding the merger of the activities of the</w:t>
        <w:br/>
        <w:t>Paris Chamber of Commerce and Industry and Unibail Holding SA in the sector of managing congress</w:t>
        <w:br/>
        <w:t>and exhibition sites and organizing fairs and exhibitions, the Competition Council, while leaving the</w:t>
        <w:br/>
        <w:t>question open, considered that the market for organizing congresses and other events was at least</w:t>
        <w:br/>
        <w:t>national in scope, if not international.</w:t>
      </w:r>
    </w:p>
    <w:p>
      <w:r>
        <w:rPr>
          <w:b/>
        </w:rPr>
        <w:t>[Pages 4–6]</w:t>
      </w:r>
    </w:p>
    <w:p>
      <w:r>
        <w:t>12. There is no reason to challenge the geographical delineation of the market in this case.</w:t>
      </w:r>
    </w:p>
    <w:p>
      <w:r>
        <w:t>B. MARKET FOR ANCILLARY SERVICES</w:t>
      </w:r>
    </w:p>
    <w:p>
      <w:r>
        <w:t>1. PRODUCT MARKET</w:t>
      </w:r>
    </w:p>
    <w:p>
      <w:r>
        <w:t>13. In the sector of fairs and exhibitions, providers offer various services in the fields of signage, reception, design and installation of stands, security, catering, etc., to managers, organizers, or directly to their clients.</w:t>
      </w:r>
    </w:p>
    <w:p>
      <w:r>
        <w:t>14. The Minister of Economy considered it appropriate to isolate the ancillary services that are directly related to the site. This includes services that cannot be provided without having a very good knowledge of the sites and extensive access rights to them, or services whose execution engages the civil and criminal liability of the site operator. The latter can therefore legitimately require that they be carried out by himself or by companies he approves. Such services are then referred to as "mandatory" if they are not divisible, or "exclusive" if their consumption is attributable to a particular exhibitor. These services may concern electrical and plumbing connections, rigging, signage, site security, and possibly cash management. These services directly related to the site's infrastructure are therefore more related to site management than to a market for ancillary services, being in reality complementary to the rental of space.</w:t>
      </w:r>
    </w:p>
    <w:p>
      <w:r>
        <w:t>15. Regarding ancillary services not directly related to the site, exhibitors can foster competition among site managers, exhibition organizers if they offer these services, and specialized providers (hereinafter, "competitive ancillary services").</w:t>
      </w:r>
    </w:p>
    <w:p>
      <w:r>
        <w:t>16. The decisional practice has therefore recognized, concerning the sector of organizing fairs and exhibitions, a distinct market related to competitive ancillary services.</w:t>
      </w:r>
    </w:p>
    <w:p>
      <w:r>
        <w:t>17. These findings are also applicable to the sector of organizing conferences and other events. Indeed, in the sector of conferences and other events, operators, organizers, and site managers are able to provide or receive ancillary services similar to those described above.</w:t>
      </w:r>
    </w:p>
    <w:p>
      <w:r>
        <w:t>18. Consequently, the market for the provision of ancillary services to the organization of conferences and other events will be considered in this case.</w:t>
      </w:r>
    </w:p>
    <w:p>
      <w:r>
        <w:t>2. GEOGRAPHICAL MARKET</w:t>
      </w:r>
    </w:p>
    <w:p>
      <w:r>
        <w:t>19. Regarding the market for ancillary services related to the organization of fairs and exhibitions, the Minister of Economy left the question of its geographical delineation open.</w:t>
      </w:r>
    </w:p>
    <w:p>
      <w:r>
        <w:t>20. The decisional practice has not ruled on the geographical dimension of the market for the provision of competitive ancillary services in the context of conferences and other events. In this case, this market is primarily concerned in terms of the conglomerate effects of the transaction given the existing connection between, on the one hand, the competitive ancillary services provided by Europa and, on the other hand, the mandatory or exclusive ancillary services provided by CCIR, via Viparis, related to the management of sites capable of hosting conferences. Thus, similar to the market for the management of sites capable of hosting conferences and other events, the market for ancillary services will be considered at the national level.</w:t>
      </w:r>
    </w:p>
    <w:p>
      <w:r>
        <w:t>21. However, the question of a broader geographical market delineation can be left open, as the conclusions of the competitive analysis remain unchanged regardless of the delineation chosen.</w:t>
      </w:r>
    </w:p>
    <w:p>
      <w:r>
        <w:t>C. MARKET FOR THE MANAGEMENT OF SITES CAPABLE OF HOSTING CONFERENCES AND OTHER EVENTS</w:t>
      </w:r>
    </w:p>
    <w:p>
      <w:r>
        <w:t>1. PRODUCT MARKET</w:t>
      </w:r>
    </w:p>
    <w:p>
      <w:r>
        <w:t>22. Site management consists of the rental of spaces to event organizers.</w:t>
      </w:r>
    </w:p>
    <w:p>
      <w:r>
        <w:t>23. The Minister considered it relevant to distinguish the market for the management of sites capable of hosting conferences from that of the management of sites capable of hosting fairs and exhibitions.</w:t>
      </w:r>
    </w:p>
    <w:p>
      <w:r>
        <w:t>24. He noted in this regard that fairs and exhibitions have a different purpose than conferences. Fairs and exhibitions are defined as "commercial events constituted by the periodic gathering of exhibitors presenting samples of products or services to potential buyers or the public with the intention of making known their qualities and provoking orders." In contrast, a conference is "organized by a professional association, a scientific association, public authorities, or an international organization. It is non-commercial and aims to bring together participants from various backgrounds, who can meet and exchange information."</w:t>
      </w:r>
    </w:p>
    <w:p>
      <w:r>
        <w:t>25. Furthermore, the Minister noted that these two types of events require different technical equipment (conferences, exhibitions, symposia, or conventions require auditoriums and meeting rooms, while fairs require large, more open exhibition halls that allow for easy visitor circulation), which explains the relative specialization of sites in France for one type of event or another.</w:t>
      </w:r>
    </w:p>
    <w:p>
      <w:r>
        <w:t>26. There is no reason to challenge this market delineation in this case.</w:t>
      </w:r>
    </w:p>
    <w:p>
      <w:r>
        <w:t>27. CCIR is active in this market through the company Viparis, co-controlled with Unibail. Viparis operates the following sites: Paris Convention Centre, Carrousel Hall, Paris Nord Villepinte, Palais des Congrès de Paris, Palais des Congrès d'Issy, Paris Le Bourget, Espace Champerret, Espace Grande Arche, Hôtel Salomon de Rothschild, and Paris Expo Porte de Versailles. Predica is active in this market by owning a conference room located in Massy (91).</w:t>
      </w:r>
    </w:p>
    <w:p>
      <w:r>
        <w:t>2. GEOGRAPHICAL MARKET</w:t>
      </w:r>
    </w:p>
    <w:p>
      <w:r>
        <w:t>28. The market for the management of conference sites has been considered by decisional practice as being at least national in scope and often international. As the Minister pointed out, in general, site managers outside Île-de-France consider themselves to be in competition with all other sites in French cities. Moreover, conferences with a scientific or professional purpose can also have a tourist dimension. There is also real pressure from international sites on French sites, particularly in Paris.</w:t>
      </w:r>
    </w:p>
    <w:p>
      <w:r>
        <w:t>29. In this regard, the Minister noted that Paris benefits from "a quite specific status given its tourist appeal, even if its sites are exposed to a real risk of erosion in the face of the very significant investments by local authorities in certain countries to build very large convention centers offering high-tech services."</w:t>
      </w:r>
    </w:p>
    <w:p>
      <w:r>
        <w:t>30. There is no reason to challenge this definition in this case.</w:t>
      </w:r>
    </w:p>
    <w:p>
      <w:r>
        <w:t>D. MARKETS FOR PUBLISHING PUBLICATIONS</w:t>
      </w:r>
    </w:p>
    <w:p>
      <w:r>
        <w:t>1. MARKETS FOR PRINT MEDIA</w:t>
      </w:r>
    </w:p>
    <w:p>
      <w:r>
        <w:t>31. Competition authorities consider that print media constitutes a distinct market from other traditional media (television, radio, etc.), particularly because the latter do not offer an analysis of information as broad and in-depth as print media. In light of the evolution of the sector, the Authority has considered including in the market the websites of press titles, as well as specialized online actors and "information aggregators."</w:t>
      </w:r>
    </w:p>
    <w:p>
      <w:r>
        <w:t>32. Within the print media sector, the Authority makes a distinction between national daily press, regional daily press, magazine press, free press, and specialized press.</w:t>
      </w:r>
    </w:p>
    <w:p>
      <w:r>
        <w:t>33. For each type of press, three markets are distinguished: readership, sale of advertising space, and sale of classified ads.</w:t>
      </w:r>
    </w:p>
    <w:p>
      <w:r>
        <w:t>34. In this case, Europa engages in the publishing of magazines related to the medical sector.</w:t>
      </w:r>
    </w:p>
    <w:p>
      <w:r>
        <w:t>35. Regarding the geographical delineation of these markets, it corresponds to the distribution area of the relevant titles. In this case, the relevant geographical dimension is national.</w:t>
      </w:r>
    </w:p>
    <w:p>
      <w:r>
        <w:t>2. MARKETS FOR OPERATING ONLINE EDITORIAL SITES</w:t>
      </w:r>
    </w:p>
    <w:p>
      <w:r>
        <w:t>36. The Authority considers that editorial sites, which constitute the extension of the paper version of press titles (or "companion sites"), form a distinct market from sites dedicated to specific themes such as classified ad sites (general ads, real estate, employment).</w:t>
      </w:r>
    </w:p>
    <w:p>
      <w:r>
        <w:rPr>
          <w:b/>
        </w:rPr>
        <w:t>[Pages 7–9]</w:t>
      </w:r>
    </w:p>
    <w:p>
      <w:r>
        <w:t>37. Editorial sites linked to a print media title are, however, in competition with websites related to other media (television or radio) and websites of specialized online press actors.</w:t>
      </w:r>
    </w:p>
    <w:p>
      <w:r>
        <w:t>38. Within the category of "companion" sites, a segmentation has been considered based on the type of information published on the sites (political and general news or economic and financial information) or the theme addressed.</w:t>
      </w:r>
    </w:p>
    <w:p>
      <w:r>
        <w:t>39. In this case, Europa operates online editorial sites related to the medical sector.</w:t>
      </w:r>
    </w:p>
    <w:p>
      <w:r>
        <w:t>40. Regarding the geographical delineation of the markets for the operation of online editorial sites, the Authority considers that it is at least of national dimension.</w:t>
      </w:r>
    </w:p>
    <w:p>
      <w:r>
        <w:t>41. There is no need to revisit these delineations during the present investigation.</w:t>
      </w:r>
    </w:p>
    <w:p>
      <w:r>
        <w:t>III. Competitive Analysis</w:t>
      </w:r>
    </w:p>
    <w:p>
      <w:r>
        <w:t>A. ANALYSIS OF HORIZONTAL EFFECTS</w:t>
      </w:r>
    </w:p>
    <w:p>
      <w:r>
        <w:t>1. MARKET FOR THE ORGANIZATION OF CONFERENCES AND OTHER EVENTS</w:t>
      </w:r>
    </w:p>
    <w:p>
      <w:r>
        <w:t>42. In order to estimate the combined market share of the parties in the market for the organization of conferences and other events, the notifying party proposed several indicators. At the national level, the combined market share of the parties is [0-5]% in value (Comexposium: [0-5]%; Europa: [0-5]%), and [5-10]% in the number of participants at organized conferences (Comexposium: [0-5]%; Europa: [5-10]%). The market share is below [0-5]% in the number of conferences organized (Comexposium: [0-5]%; Europa: [0-5]%).</w:t>
        <w:br/>
        <w:t>43. Thus, regardless of the market share indicator considered, the positions of the new entity will be very limited, with a market share addition consistently below two points at the national level.</w:t>
        <w:br/>
        <w:t>44. Furthermore, the new entity will face competition from numerous operators active in the organization of conferences, such as GL Events, MCI France, MCO Colloquim, Hopscotch, some of whom specialize in the health sector, similar to the target.</w:t>
        <w:br/>
        <w:t>45. In light of these elements, and pursuant to paragraph 384 of the Authority's guidelines regarding the control of concentrations (hereinafter, "guidelines"), the transaction is not likely to harm competition in the market for the organization of conferences and other events through horizontal effects.</w:t>
      </w:r>
    </w:p>
    <w:p>
      <w:r>
        <w:t>2. MARKET FOR ANCILLARY SERVICES TO THE ORGANIZATION OF CONFERENCES AND OTHER EVENTS</w:t>
      </w:r>
    </w:p>
    <w:p>
      <w:r>
        <w:t>46. According to the estimates of the notifying party, the combined market share of the parties in the competitive ancillary services market is below [0-5]% at the national level (Comexposium: [0-5]%; Europa: [0-5]%), with a marginal addition of market share.</w:t>
        <w:br/>
        <w:t>47. In view of these elements, and pursuant to paragraph 384 of the guidelines, the transaction is not likely to harm competition in this market through horizontal effects.</w:t>
      </w:r>
    </w:p>
    <w:p>
      <w:r>
        <w:t>B. ANALYSIS OF VERTICAL EFFECTS</w:t>
      </w:r>
    </w:p>
    <w:p>
      <w:r>
        <w:t>48. A vertical concentration can restrict competition by making access to the markets where the new entity will be active more difficult, or even potentially foreclosing competitors or penalizing them by increasing their costs. This foreclosure can target downstream markets when the integrated company refuses to sell an input to its distributor competitors (input foreclosure), or upstream markets when the downstream branch of the integrated company refuses to purchase products from manufacturers, thereby reducing their commercial outlets (customer foreclosure). However, the decision-making practice of competition authorities generally considers that a risk of vertical effect can be ruled out as long as the market share of the entity resulting from the transaction in the relevant upstream and downstream markets does not exceed 30%.</w:t>
      </w:r>
    </w:p>
    <w:p>
      <w:r>
        <w:t>49. In this case, CCIR is active, via Viparis, in the market for the management of sites capable of hosting conferences, which is upstream of the market for the organization of conferences and other events.</w:t>
      </w:r>
    </w:p>
    <w:p>
      <w:r>
        <w:t>a) Input Foreclosure</w:t>
      </w:r>
    </w:p>
    <w:p>
      <w:r>
        <w:t>50. CCIR could decide to stop providing the sites necessary for the organization of their events to Europa's competitors in the market for the organization of conferences and other events, in order to foreclose them from the downstream market.</w:t>
      </w:r>
    </w:p>
    <w:p>
      <w:r>
        <w:t>51. Based on the conservative assumption of a national definition of the market for the management of sites capable of hosting conferences, Viparis holds, according to the notifying party's estimates, a market share not exceeding 11% based on an indicator corresponding to the number of seats and between 25% and 35% based on an indicator corresponding to the area.</w:t>
      </w:r>
    </w:p>
    <w:p>
      <w:r>
        <w:t>52. As indicated in paragraph 29 of this decision, the Authority notes the strong attractiveness of the Paris region for organizing events. However, as highlighted by the Minister of Economy in 2007, Viparis's market power in the market for the management of conference sites and other events is limited by several factors. First, it should be noted that the assumption of a market for the management of conference sites defined at the national level is a conservative assumption. Indeed, the sites owned by Viparis face competitive pressure from the supply of large European venues capable of meeting the needs of national or international conferences. Furthermore, the availability of numerous Parisian hotels allows for the accommodation of smaller events. Additionally, venues such as the Maison de la Chimie, the Palais de la Bourse, the Cité des Sciences et de l’Industrie, or the Disneyland complex can meet the demand for medium-sized events. Finally, local authorities in the provinces are making significant investments to provide sites capable of hosting smaller events.</w:t>
      </w:r>
    </w:p>
    <w:p>
      <w:r>
        <w:t>53. Thus, in the event that Viparis were to implement an input foreclosure strategy, the competitors of the parties in the downstream market would have credible alternatives to Viparis, such that such a strategy would have a limited effect on the market.</w:t>
      </w:r>
    </w:p>
    <w:p>
      <w:r>
        <w:t>54. Consequently, the transaction is not likely to generate vertical effects through input foreclosure.</w:t>
      </w:r>
    </w:p>
    <w:p>
      <w:r>
        <w:t>b) Customer Foreclosure</w:t>
      </w:r>
    </w:p>
    <w:p>
      <w:r>
        <w:t>55. The new entity could decide to stop organizing its conferences at sites owned by Viparis's competitors in order to foreclose them from the upstream market for site management.</w:t>
      </w:r>
    </w:p>
    <w:p>
      <w:r>
        <w:t>56. However, as indicated in paragraph 42 of this decision, the market share of the new entity in the downstream market will be very low, not exceeding [5-10]%. The new entity will continue to face competition from numerous operators in the downstream market, which constitute credible alternatives for Viparis's competitors in the upstream market.</w:t>
      </w:r>
    </w:p>
    <w:p>
      <w:r>
        <w:t>57. In light of these elements, and pursuant to paragraph 384 of the guidelines, the transaction is not likely to generate vertical effects through customer foreclosure.</w:t>
      </w:r>
    </w:p>
    <w:p>
      <w:r>
        <w:t>C. ANALYSIS OF CONGLOMERATE EFFECTS</w:t>
      </w:r>
    </w:p>
    <w:p>
      <w:r>
        <w:t>58. A concentration has conglomerate effects when the new entity expands or strengthens its presence in several markets whose connection may allow it to increase its market power. Generally, such effects are analyzed when a concentration operation extends or strengthens the presence of a new entity in several distinct but related markets. These effects can also be analyzed when the strengthening of the position of a new entity occurs in the same market, but it is a market of sufficiently differentiated products so that, on the one hand, a leveraging effect can be exercised from one of them and, on the other hand, the same customers regularly purchase more than one product within this product range. While conglomerate concentrations can generally generate pro-competitive synergies, some may nonetheless produce restrictive competition effects when they allow for the technical or commercial tying of the sales or purchases of the components of the grouping in such a way as to lock the market and foreclose competitors.</w:t>
      </w:r>
    </w:p>
    <w:p>
      <w:r>
        <w:t>59. The decision-making practice of competition authorities generally considers that a risk of conglomerate effect can be ruled out as long as the share of the entity resulting from the transaction in the relevant markets does not exceed 30%.</w:t>
      </w:r>
    </w:p>
    <w:p>
      <w:r>
        <w:t>a) Regarding Ancillary Services</w:t>
      </w:r>
    </w:p>
    <w:p>
      <w:r>
        <w:t>60. The Minister of Economy identified a link of connection between, on the one hand, mandatory or exclusive services, and, on the other hand, competitive ancillary services.</w:t>
      </w:r>
    </w:p>
    <w:p>
      <w:r>
        <w:rPr>
          <w:b/>
        </w:rPr>
        <w:t>[Pages 10–12]</w:t>
      </w:r>
    </w:p>
    <w:p>
      <w:r>
        <w:t>61. In this case, CCIR could decide, after the transaction, to commercially link the provision of mandatory or exclusive ancillary services to the purchase of competitive ancillary services provided by Europa, in order to foreclose competitors in the second market.</w:t>
      </w:r>
    </w:p>
    <w:p>
      <w:r>
        <w:t>62. As indicated by the Minister of Economy in his letter C2007-14 referenced above, the mandatory and exclusive ancillary services are essentially linked to the infrastructure of the site concerned and thus pertain more to site management than to a market for ancillary services.</w:t>
      </w:r>
    </w:p>
    <w:p>
      <w:r>
        <w:t>63. However, as outlined in paragraph 51 of this decision, Viparis's position in the site management market potentially does not exceed 30% only under the conservative assumption of a national market definition and based on a market share indicator derived from the area of the sites. Furthermore, Viparis faces competitive pressure from numerous operators at the international, national, and local levels, representing credible alternatives for its clients.</w:t>
      </w:r>
    </w:p>
    <w:p>
      <w:r>
        <w:t>64. Consequently, the implementation of a locking strategy as mentioned in paragraph 61 of this decision would have only a limited effect on the market.</w:t>
      </w:r>
    </w:p>
    <w:p>
      <w:r>
        <w:t>65. Moreover, the new entity could decide to link the provision of the parties' competitive ancillary services to the purchase of mandatory or exclusive services provided by Viparis through the rental of a site operated by the latter.</w:t>
      </w:r>
    </w:p>
    <w:p>
      <w:r>
        <w:t>66. However, as indicated in paragraph 46, the position of the new entity in the market for the provision of competitive ancillary services is marginal. In light of paragraph 384 of the guidelines, any risk of conglomerate effects related to the implementation of such a strategy can therefore be dismissed.</w:t>
      </w:r>
    </w:p>
    <w:p>
      <w:r>
        <w:t>67. As a result, the transaction is not likely to harm competition through conglomerate effects related to the existing connection between, on the one hand, the mandatory or exclusive ancillary services provided by Viparis through its site management activity, and, on the other hand, the competitive ancillary services provided by Europa.</w:t>
      </w:r>
    </w:p>
    <w:p>
      <w:r>
        <w:t>b) Regarding the Publishing of Publications in the Medical Sector</w:t>
      </w:r>
    </w:p>
    <w:p>
      <w:r>
        <w:t>68. Insofar as Europa has a publishing activity in the medical sector, the new entity could decide to promote the conferences organized by Comexposium in order to provide them with greater visibility compared to the conferences organized by the parties' competitors in this market.</w:t>
      </w:r>
    </w:p>
    <w:p>
      <w:r>
        <w:t>69. However, Europa's position in the medical journal publishing market is limited and is estimated by the parties to be [5-10]% in terms of the number of publications and [5-10]% in value, including both print and online publications.</w:t>
      </w:r>
    </w:p>
    <w:p>
      <w:r>
        <w:t>70. Consequently, the implementation of such a strategy would have only a limited effect on the market.</w:t>
      </w:r>
    </w:p>
    <w:p>
      <w:r>
        <w:t>71. The new entity could also decide, during the conferences organized by Comexposium, to particularly promote the publications published by Europa in order to foreclose its competitors in the market.</w:t>
      </w:r>
    </w:p>
    <w:p>
      <w:r>
        <w:t>72. However, as outlined in paragraph 42 of this decision, Comexposium's position in the conference organization market is marginal. Comexposium is, moreover, the owner of only [0-5] exhibitions related to the medical sector, so that the implementation of such a strategy would have a marginal effect on the market.</w:t>
      </w:r>
    </w:p>
    <w:p>
      <w:r>
        <w:t>As a result, in light of paragraph 384 of the guidelines, the transaction is not likely to harm competition through conglomerate effects related to the connection between the conference organization activity carried out by Comexposium and the publishing activity carried out by Europa.</w:t>
      </w:r>
    </w:p>
    <w:p>
      <w:r>
        <w:t>DECIDES</w:t>
      </w:r>
    </w:p>
    <w:p>
      <w:r>
        <w:t>Sole Article: The transaction notified under number 20-023 is authorized.</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