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https://www.autoritedelaconcurrence.fr/fr/decision-de-controle-des-concentrations/relative-la-prise-de-controle-exclusif-dhopital-prive</w:t>
      </w:r>
    </w:p>
    <w:p>
      <w:r>
        <w:t>Pages translated : 7</w:t>
      </w:r>
    </w:p>
    <w:p/>
    <w:p>
      <w:r>
        <w:rPr>
          <w:b/>
        </w:rPr>
        <w:t>[Pages 1–3]</w:t>
      </w:r>
    </w:p>
    <w:p>
      <w:r>
        <w:t>FRENCH REPUBLIC</w:t>
        <w:br/>
        <w:t>Decision No. 15-DCC-155 of November 30, 2015</w:t>
        <w:br/>
        <w:t>regarding the exclusive control of Hôpital Privé Métropole by</w:t>
        <w:br/>
        <w:t>Compagnie Générale de Santé</w:t>
        <w:br/>
        <w:t>The Competition Authority,</w:t>
        <w:br/>
        <w:t>Having regard to the notification file submitted in full to the merger service on</w:t>
        <w:br/>
        <w:t>October 23, 2015, regarding the exclusive control of Hôpital Privé Métropole by</w:t>
        <w:br/>
        <w:t>Compagnie Générale de Santé, formalized by a share transfer protocol dated July 24,</w:t>
        <w:br/>
        <w:t>2015;</w:t>
        <w:br/>
        <w:t>Having regard to Book IV of the Commercial Code relating to price freedom and competition, and</w:t>
        <w:br/>
        <w:t>notably its Articles L. 430-1 to L. 430-10;</w:t>
        <w:br/>
        <w:t>Having regard to the supplementary elements transmitted by the parties during the investigation;</w:t>
        <w:br/>
        <w:t>Adopts the following decision:</w:t>
        <w:br/>
        <w:t>I. The concerned companies and the operation</w:t>
        <w:br/>
        <w:t>1. Compagnie Générale de Santé SAS (hereinafter, "CGS") is a company under French law that</w:t>
        <w:br/>
        <w:t>operates 115 healthcare establishments in France and one healthcare establishment in Italy. CGS is</w:t>
        <w:br/>
        <w:t>jointly controlled by Ramsay Health Care Limited (hereinafter, "RHC"), through its 100% subsidiary Ramsay Health Care UK Limited (hereinafter "RHC UK"), and by the Crédit Agricole group (hereinafter, "GCA"), through its 100% subsidiary Predica SA (hereinafter,</w:t>
        <w:br/>
        <w:t>"Predica")1. RHC is an Australian company that operates healthcare establishments in the United Kingdom, Australia, France, Indonesia, and Malaysia. GCA is a French mutual group, offering a wide range of banking and insurance services. In France, CGS establishments primarily offer services in medicine, surgery,</w:t>
        <w:br/>
        <w:t>obstetrics, oncology, and radiotherapy, diagnostic activities, follow-up and rehabilitation care, and psychiatric care.</w:t>
        <w:br/>
        <w:t>1 See the decision of the Competition Authority No. 14-DCC-141 of September 24, 2014.</w:t>
      </w:r>
    </w:p>
    <w:p>
      <w:r>
        <w:t>2. Hôpital Privé Métropole SAS (hereinafter "HPM") is a French private group that operates 9</w:t>
        <w:br/>
        <w:t>private healthcare establishments in the Nord department (59)2. The capital of HPM is</w:t>
        <w:br/>
        <w:t>held by a group of natural and legal persons without any of the shareholders controlling the company. The HPM clinics, which are located in the Nord department,</w:t>
        <w:br/>
        <w:t>primarily offer services in medicine, surgery, obstetrics, oncology, and radiotherapy, follow-up and rehabilitation care, diagnostic activities, and more incidentally psychiatric care.</w:t>
        <w:br/>
        <w:t>3. Pursuant to a share transfer protocol dated July 24, 2015, the notified transaction</w:t>
        <w:br/>
        <w:t>consists of the acquisition by CGS of the entirety of the capital and voting rights of HPM3.</w:t>
        <w:br/>
        <w:t>The notified transaction results in the exclusive control of HPM by CGS and</w:t>
        <w:br/>
        <w:t>constitutes a concentration within the meaning of Article L. 430-1 of the Commercial Code.</w:t>
        <w:br/>
        <w:t>4. The concerned companies together achieve a total worldwide turnover excluding tax of more than 150 million euros (CGS4: […] euros for the fiscal year ending December 31, 2014; HPM: […] euros for the same fiscal year). Each of these companies</w:t>
        <w:br/>
        <w:t>has achieved a turnover in France exceeding 50 million euros (CGS4: […] euros for the fiscal year ending December 31, 2014; HPM: […] euros for the fiscal year ending December 31, 2014). Given these turnover figures, the transaction does not fall under the</w:t>
        <w:br/>
        <w:t>competence of the European Union. However, the control thresholds mentioned in I of</w:t>
        <w:br/>
        <w:t>Article L. 430-2 of the Commercial Code are exceeded. This transaction is therefore subject to the</w:t>
        <w:br/>
        <w:t>provisions of Articles L. 430-3 and following of the Commercial Code relating to economic concentration.</w:t>
        <w:br/>
        <w:t>II. Delimitation of relevant markets</w:t>
        <w:br/>
        <w:t>The transaction involves an overlap of activities in the sector of the provision of diagnostics and</w:t>
        <w:br/>
        <w:t>care in healthcare establishments.</w:t>
        <w:br/>
        <w:t>A. DELIMITATION OF SERVICE MARKETS</w:t>
        <w:br/>
        <w:t>5. Regarding the markets for the provision of diagnostics and hospital care in France, national and European decision-making practice5 considers that it is not relevant to distinguish the supply based on whether it comes from private or public establishments. Indeed, in France, the patient is free</w:t>
        <w:br/>
        <w:t>2 Polyclinique du Bois located in Lille, Clinique Lille Sud located in Lesquin, Clinique de la Victoire located in Tourcoing, Clinique du Sport et de</w:t>
        <w:br/>
        <w:t>la Chirurgie Orthopédique located in Marcq-en-Barœul, Clinique Ambroise Paré located in Lille, Clinique du Val de Lys located in Tourcoing,</w:t>
        <w:br/>
        <w:t>Clinique Saint Jean located in Roubaix, Clinique Clos Saint-Jean located in Roubaix, and Clinique Maison Fleurie located in Faches-Thumesnil.</w:t>
        <w:br/>
        <w:t>3 See Articles 1 and 2 of the protocol.</w:t>
        <w:br/>
        <w:t>4 The turnover of CGS includes that of its parent companies RHC and GCA.</w:t>
        <w:br/>
        <w:t>5 Decision of the Competition Authority No. 14-DCC-141 of September 24, 2014; decision of the Competition Authority No. 14-DCC-79 of</w:t>
        <w:br/>
        <w:t>June 11, 2014; decision of the Competition Authority No. 13-DCC-164 of November 21, 2013; decision of the Competition Authority</w:t>
        <w:br/>
        <w:t>No. 11-DCC-57 of April 4, 2011; decision of the Competition Authority No. 11-DCC-37 of March 7, 2011; decision of the Competition Authority No. 09-DCC-68 of November 25, 2009; letter No. C2008-115 from the Minister of Economy, Finance and Industry dated December 5, 2008; letter No. C2006-105 from the Minister of Economy, Finance and Industry dated October 26, 2006; and letter No. C2005-125 from the Minister of Economy, Finance and Industry dated January 6, 2006, and decisions of the European Commission No. COMP/M.7221 – Bridgepoint Capital/Médi-Partenaires of April 28, 2014; No. COMP/M.5805 – 3i/Vedici Group of May 21, 2010; No. COMP/M.4788 – Rozier/BHS of August 21, 2007; No. COMP/M. 4367 – APW/APSA/Nordic Capital/Capio of March 16.</w:t>
      </w:r>
    </w:p>
    <w:p>
      <w:r>
        <w:t>the right to choose their establishment, public or private, without economic consideration since the</w:t>
        <w:br/>
        <w:t>reimbursement of care does not depend on the status of the establishment where the care was provided. Moreover, patients' recourse to complementary insurance tends to increase the freedom of choice for patients regarding the establishment in which they wish to be treated concerning the non-care portion of hospitalization costs (the "hotel" services). Furthermore, whether public or private, hospital establishments are intended to welcome all patients, without economic or social consideration. Finally, all hospital establishments established in France are subject to a common regulatory and normative framework that defines the conditions for exercising their activity, regulated at the regional level by the Regional Health Agencies (hereinafter "ARS") with which they enter into objective and means contracts.</w:t>
        <w:br/>
        <w:t>6. However, competition authorities6 distinguish markets for the provision of diagnostics and hospital care by type of activity to take into account the strong specialization of practitioners and the services of hospital establishments, as well as the necessity for a hospital establishment to obtain specific authorizations from the ARS for the exercise of certain medical or surgical specialties. The practice has thus considered a broad segmentation, by "groups of specialized activity" corresponding to the major disciplines defined by the Public Health Code (medicine, surgery, obstetrics, neonatology, psychiatry, follow-up and rehabilitation care, long-term care, oncology and radiotherapy, diagnostic activities).</w:t>
        <w:br/>
        <w:t>7. The Competition Authority7 has also considered a narrower segmentation of the markets for diagnostics and hospital care, by "major diagnostic category" (hereinafter "MDC") according to the classification of acts established by the ARS. The Competition Authority considered, while leaving the question open, that this segmentation was relevant since it allows for the distinction of all medical acts performed within hospital establishments according to both medical and functional criteria, taking into account the parts of the body treated, and economic criteria, with stays or admissions classified in the same group involving the use of similar resources. The Authority has, moreover, considered sub-segmenting each MDC based on the presence of a surgical act or not (hereinafter "SA" in the presence of a surgical act and "NSA" in the absence of a surgical act)8.</w:t>
        <w:br/>
        <w:t>8. Finally, competition authorities have questioned the existence of distinct markets for the provision of home hospitalization on the one hand and the provision of dialysis care. Regarding dialysis activities, however, it follows from European decision-making practice that this type of care is not likely to be distinguished from other comparable hospital care offers. The Competition Authority has, however, considered a distinct segment of care falling under the MDC28 (sessions) to which dialysis care belongs.</w:t>
        <w:br/>
        <w:t>9. In this case, all delimitations considered by practice will be examined in the context of the analysis of the effects of the transaction. In any case, the question of the exact definition of the markets for the provision of diagnostics and hospital care can be left open as the conclusions of the analysis will remain unchanged regardless of the delimitation retained.</w:t>
        <w:br/>
        <w:t>6 Ibid.</w:t>
        <w:br/>
        <w:t>7 Decision of the Competition Authority No. 14-DCC-79 of June 11, 2014; decision of the Competition Authority No. 13-DCC-164 of November 21, 2013; decision of the Competition Authority No. 11-DCC-57 of April 4, 2011; decision of the Competition Authority No. 11-DCC-37 of March 7, 2011; decision of the Competition Authority No. 09-DCC-68 of November 25, 2009.</w:t>
        <w:br/>
        <w:t>8 Decision of the Competition Authority No. 14-DCC-141 of September 24, 2014 and decision of the Competition Authority No. 14-DCC-79 of June 11, 2014.</w:t>
      </w:r>
    </w:p>
    <w:p>
      <w:r>
        <w:rPr>
          <w:b/>
        </w:rPr>
        <w:t>[Pages 4–6]</w:t>
      </w:r>
    </w:p>
    <w:p>
      <w:r>
        <w:t>B. GEOGRAPHICAL DELIMITATION OF MARKETS</w:t>
        <w:br/>
        <w:t>10. The European Commission9, without definitively resolving the issue, suggests that the markets for the provision of diagnostics and hospital care have a local dimension extending to a radius corresponding to a 30-minute car journey.</w:t>
        <w:br/>
        <w:t>11. National decision-making practice, taking into account the regulatory instruments used by the Regional Health Agencies (ARS), considers that the markets for the provision of diagnostics and hospital care have a local, departmental, or regional dimension, the scope of which depends on the specialty concerned by the healthcare provision market studied10. Competition authorities have notably observed that the size of patient catchment areas varies significantly, not only depending on the establishment and the medical-surgical specialties practiced there, but also depending on the region considered, its population density, and its level of equipment in hospital care establishments. The coverage by health insurance of transportation costs incurred by certain patients tends to increase their willingness to travel.</w:t>
        <w:br/>
        <w:t>12. It is therefore necessary to examine, on a case-by-case basis, the importance of travel times between the establishments concerned. Thus, in a recent decision, the Authority noted that patients had a travel time not exceeding one hour in certain departments11. Similarly, the majority of operators surveyed as part of the market test conducted for this operation indicate that, in the Nord-Pas-de-Calais region, where the operation leads to overlaps in market shares, the average journey time for a patient to reach a hospital care establishment is between 30 minutes and one hour.</w:t>
        <w:br/>
        <w:t>13. In this case, all delimitations considered by practice will be examined as part of the analysis of the effects of the operation. In any event, the question of the exact geographical delimitation of the markets for the provision of diagnostics and hospital care can be left open insofar as the conclusions of the analysis will remain unchanged regardless of the hypothesis retained.</w:t>
        <w:br/>
        <w:t>III. Competitive Analysis</w:t>
        <w:br/>
        <w:t>A. INTRODUCTION</w:t>
        <w:br/>
        <w:t>14. To estimate market shares, the notifying party used the national public database of the medicalization program of information systems of the technical agency for hospitalization, which compiles statistics from French healthcare establishments12.</w:t>
        <w:br/>
        <w:t>15. The competitive analysis will therefore primarily rely on the examination of the market shares of the parties in areas corresponding to regional and departmental delimitations. A competitive analysis will then be conducted in areas defined by a travel time of 30 and 60 minutes by car around each target establishment.</w:t>
        <w:br/>
        <w:t>16. As noted by the Authority in previous decisions13, the examination of the horizontal effects of the operation must also take into account the specific pricing mechanisms in the relevant markets. Indeed, the rates for care services provided by public and private establishments are regulated and set annually at the national level, according to a system of activity-based pricing (known as "T2A"). Each care activity corresponds to a flat rate for the service that the establishment can charge. Healthcare establishments cannot deviate from these rates. Additional fees for medical acts are solely at the initiative of the practitioners and not of the establishment in which they carry out their activities. Consequently, private clinics cannot unilaterally increase the rates of the contracted care14 they provide. These flat rates concern the vast majority of care services. For the rest, ancillary services (known as "hotel" services) remain at the discretion of the establishments. However, the notifying parties indicate that the revenue derived from these services is extremely low, so that an increase in the rates associated with these services would be unprofitable given the patient loss that would result. They also note that their ability to degrade the quality of care offered is limited due to the role played by the Haute autorité de santé (hereinafter, "HAS"). The latter ensures the certification of establishments and validates good practice guidelines. This observation is confirmed by the response provided by the ARS of Nord-Pas-de-Calais as part of the market test.</w:t>
        <w:br/>
        <w:t>17. At the regional level, the activities of CGS and HPM in the field of diagnostics and hospital care overlap in the Nord-Pas-de-Calais region. In this region, CGS owns six healthcare establishments, four located in the Nord department and two located in the Pas-de-Calais department. HPM owns nine healthcare establishments, all located in the Nord department. The operation therefore entails an overlap of activity at the regional and departmental levels.</w:t>
        <w:br/>
        <w:t>B. EFFECTS OF THE OPERATION IN THE NORD-PAS-DE-CALAIS REGION</w:t>
        <w:br/>
        <w:t>18. At the regional level, according to segmentation by specialized activity groups, the market shares of the new entity following the operation will not exceed [20-30] %. According to segmentation by CMD, the market shares of the new entity will not exceed [30-40] %.</w:t>
        <w:br/>
        <w:t>19. According to the sub-segmentation of surgical/non-surgical acts, the market shares of the new entity will not exceed [30-40] %, except for the segment of surgical acts related to CMD 21 (traumas, allergies, and poisonings), where the combined market share of the parties will be [40-50] %. However, the new entity will still face competition from 46 establishments, both public and private. In particular, it will face competition from the regional university hospital center (hereinafter, "CHRU") of Lille, which has a market share of [10-20] %.</w:t>
        <w:br/>
        <w:t>20. The operation is therefore not likely to harm competition through horizontal effects in the markets for the provision of diagnostics and hospital care in the Nord-Pas-de-Calais region.</w:t>
        <w:br/>
        <w:t>C. EFFECTS OF THE OPERATION IN THE NORD DEPARTMENT</w:t>
        <w:br/>
        <w:t>21. At the departmental level, according to segmentation by specialized activity groups, the market shares of the new entity following the operation will not exceed [30-40] %. According to segmentation by CMD, the market shares of the new entity will not exceed [30-40] %.</w:t>
        <w:br/>
        <w:t>22. According to the sub-segmentation of surgical/non-surgical acts, the market shares of the new entity following the concentration will not exceed [30-40] %, except for the segment of surgical acts related to CMD 21 (traumas, allergies, and poisonings), where the combined market share of the parties will be [50-60] %. However, the parties will still face competition from 30 establishments, both public and private. In particular, they will face competition from the CHRU of Lille, which has a market share of [10-20] %.</w:t>
        <w:br/>
        <w:t>23. The operation is therefore not likely to harm competition through horizontal effects in the markets for the provision of diagnostics and hospital care in the Nord department.</w:t>
        <w:br/>
        <w:t>D. EFFECTS OF THE OPERATION WITHIN A 30-MINUTE CAR RADIUS AROUND EACH TARGET ESTABLISHMENT</w:t>
        <w:br/>
        <w:t>24. Within a 30-minute car radius around each target establishment15, according to segmentation by specialized activity groups, the market shares of the new entity following the operation will not exceed [20-30] %, except for the surgery segment where the market shares of the new entity will be between [40-50] % and [40-50] % depending on the target establishments. However, in each of the 8 areas concerned by the operation16, the parties will still face competition from at least 10 healthcare establishments, both public and private. In particular, the parties will face competition from the CHRU of Lille, which has a market share between [20-30] % and [20-30] % depending on the areas. The parties were unable to provide the market shares of the new entity according to the segmentation by CMD and according to the sub-segmentation of surgical/non-surgical acts.</w:t>
        <w:br/>
        <w:t>15 Polyclinique du Bois located in Lille (59), Clinique Lille Sud located in Lesquin (59), Clinique de la Victoire located in Tourcoing (59), Clinique du Sport et de la Chirurgie Orthopédique located in Marcq-en-Barœul (59), Clinique Ambroise Paré located in Lille (59), Clinique du Val de Lys located in Tourcoing (59), Clinique Saint Jean located in Roubaix (59), Clinique Clos Saint-Jean located in Roubaix (59), and Clinique Maison Fleurie located in Faches-Thumesnil (59).</w:t>
        <w:br/>
        <w:t>16 Clinique Saint Jean and Clinique Clos Saint-Jean are located at the same place.</w:t>
      </w:r>
    </w:p>
    <w:p>
      <w:r>
        <w:rPr>
          <w:b/>
        </w:rPr>
        <w:t>[Pages 7–7]</w:t>
      </w:r>
    </w:p>
    <w:p>
      <w:r>
        <w:t>25. While some respondents to the market test consider that the transaction is likely to affect competitive conditions within a 30-minute driving radius around each target establishment, the vast majority of operators surveyed note that, within such an area, holding a market share greater than 25% will not allow the new entity to implement anti-competitive effects. Thus, the ARS of Nord-Pas-de-Calais observes that "the establishments of the group will not be able to increase their prices" nor decrease the quality of service, the latter being "very regulated by the accreditation and certification processes of the HAS as well as the compliance, controls, and inspections carried out by the ARS"17.</w:t>
      </w:r>
    </w:p>
    <w:p>
      <w:r>
        <w:t>26. The transaction is therefore not likely to harm competition through horizontal effects in the markets for the provision of diagnostics and hospital care within a 30-minute driving radius around each target establishment.</w:t>
      </w:r>
    </w:p>
    <w:p>
      <w:r>
        <w:t>E. EFFECTS OF THE TRANSACTION WITHIN A 60-MINUTE DRIVING RADIUS AROUND THE TARGET ESTABLISHMENT</w:t>
        <w:br/>
        <w:t>27. Within a 60-minute driving radius around each target establishment, according to the segmentation by specialized activity groups, the market shares of the new entity following the transaction will not exceed [30-40]%. The parties were unable to provide the market shares of the new entity according to the segmentation by CMD and according to the sub-segmentation surgical procedure/non-surgical procedure. In any case, the new entity will remain faced with competition from several establishments, both public and private.</w:t>
      </w:r>
    </w:p>
    <w:p>
      <w:r>
        <w:t>28. The transaction is therefore not likely to harm competition through horizontal effects in the markets for the provision of diagnostics and hospital care within a 60-minute driving radius around each target establishment.</w:t>
      </w:r>
    </w:p>
    <w:p>
      <w:r>
        <w:t>DECIDES</w:t>
        <w:br/>
        <w:t>Sole Article: The transaction notified under number 15-163 is authorized.</w:t>
        <w:br/>
        <w:t>The President,</w:t>
        <w:br/>
        <w:t>Bruno Lasserre</w:t>
        <w:br/>
        <w:t>© Competition Authority</w:t>
        <w:br/>
        <w:t>17 Market test of October 26, 2015, response to question no.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