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https://www.autoritedelaconcurrence.fr/fr/decision-de-controle-des-concentrations/relative-la-prise-de-controle-exclusif-domnes-capital-par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22-DCC-213 of November 15, 2022</w:t>
        <w:br/>
        <w:t>regarding the exclusive control acquisition of Omnes Capital by IDI</w:t>
        <w:br/>
        <w:t>The Competition Authority,</w:t>
        <w:br/>
        <w:t>Having regard to the complete notification file submitted to the mergers department on</w:t>
        <w:br/>
        <w:t>October 26, 2022, concerning the exclusive control acquisition of Omnes Capital SAS by IDI SCA,</w:t>
        <w:br/>
        <w:t>formalized by a framework agreement dated July 29, 2022;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IDI of the company Omnes</w:t>
        <w:br/>
        <w:t>Capital, a portfolio management company approved by the Financial Markets Authority.</w:t>
        <w:br/>
        <w:t>The operation constitutes a concentration within the meaning of Article L. 430-1 of the Commercial Code.</w:t>
        <w:br/>
        <w:t>Given the turnover achieved by the concerned companies, the operation does not fall under the jurisdiction of the European Union. On the other hand,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DECISION</w:t>
        <w:br/>
        <w:t>Sole Article: The operation notified under number 22-220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