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https://www.autoritedelaconcurrence.fr/fr/decision-de-controle-des-concentrations/relative-la-prise-de-controle-exclusif-dostrum-asset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22-DCC-77 of May 5, 2022  </w:t>
        <w:br/>
        <w:t xml:space="preserve">regarding the exclusive control acquisition of Ostrum Asset Management  </w:t>
        <w:br/>
        <w:t xml:space="preserve">by Natixis Investment Managers  </w:t>
        <w:br/>
        <w:t>The Competition Authority,</w:t>
      </w:r>
    </w:p>
    <w:p>
      <w:r>
        <w:t xml:space="preserve">Having regard to the complete notification file submitted to the mergers department on April 15, 2022,  </w:t>
        <w:br/>
        <w:t xml:space="preserve">concerning the exclusive control acquisition of Ostrum Asset Management by Natixis Investment  </w:t>
        <w:br/>
        <w:t xml:space="preserve">Managers formalized by the signing of a letter of intent signed by La Banque Postale and  </w:t>
        <w:br/>
        <w:t>BPCE, dated December 16, 2021;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 xml:space="preserve">Adopts the following decision:  </w:t>
        <w:br/>
        <w:t xml:space="preserve">1. The notified operation consists of the exclusive control acquisition of Ostrum Asset Management,  </w:t>
        <w:br/>
        <w:t xml:space="preserve">an asset management and fund administration company based in France, currently controlled  </w:t>
        <w:br/>
        <w:t xml:space="preserve">by Natixis Investment Managers and La Banque Postale, by the company Natixis Investment  </w:t>
        <w:br/>
        <w:t xml:space="preserve">Managers. It constitutes a concentration operation within the meaning of Article L. 430-1 of the  </w:t>
        <w:br/>
        <w:t xml:space="preserve">Commercial Code. Given the turnover achieved by the concerned companies, the operation does  </w:t>
        <w:br/>
        <w:t xml:space="preserve">not fall under the jurisdiction of the European Union. On the other hand, the control thresholds  </w:t>
        <w:br/>
        <w:t xml:space="preserve">mentioned in I of Article L. 430-2 of the Commercial Code are exceeded. This operation is therefore  </w:t>
        <w:br/>
        <w:t xml:space="preserve">subject to the provisions of Articles L. 430-3 and following of the Commercial Code relating to  </w:t>
        <w:br/>
        <w:t xml:space="preserve">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22-040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