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https://www.autoritedelaconcurrence.fr/fr/decision-de-controle-des-concentrations/relative-la-prise-de-controle-exclusif-doxya-par-montefiore</w:t>
      </w:r>
    </w:p>
    <w:p>
      <w:r>
        <w:t>Pages translated : 2</w:t>
      </w:r>
    </w:p>
    <w:p/>
    <w:p>
      <w:r>
        <w:rPr>
          <w:b/>
        </w:rPr>
        <w:t>[Pages 1–2]</w:t>
      </w:r>
    </w:p>
    <w:p>
      <w:r>
        <w:t xml:space="preserve">REPUBLIC OF FRANCE  </w:t>
        <w:br/>
        <w:t xml:space="preserve">Decision No. 23-DCC-141 of July 18, 2023  </w:t>
        <w:br/>
        <w:t xml:space="preserve">regarding the exclusive control acquisition of oXya by Montefiore Investment  </w:t>
        <w:br/>
        <w:t xml:space="preserve">The Competition Authority,  </w:t>
        <w:br/>
        <w:t xml:space="preserve">Having regard to the complete notification file submitted to the mergers department on June 30, 2023, concerning the exclusive control acquisition by Montefiore Investment of the company oXya, formalized by a unilateral purchase promise dated June 21, 2023;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exclusive control acquisition by Montefiore Investment of the company oXya, which specializes in providing digital services. This operation constitutes a concentration operation within the meaning of Article L. 430-1 of the Commercial Code. Given the turnover achieved by the companies concerned, the operation does not fall under the jurisdiction of the European Union. However, the relevant control thresholds mentioned in point 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23-154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