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https://www.autoritedelaconcurrence.fr/fr/decision-de-controle-des-concentrations/relative-la-prise-de-controle-exclusif-du-cabinet-davocats</w:t>
      </w:r>
    </w:p>
    <w:p>
      <w:r>
        <w:t>Pages translated : 4</w:t>
      </w:r>
    </w:p>
    <w:p/>
    <w:p>
      <w:r>
        <w:rPr>
          <w:b/>
        </w:rPr>
        <w:t>[Pages 1–3]</w:t>
      </w:r>
    </w:p>
    <w:p>
      <w:r>
        <w:t xml:space="preserve">FRENCH REPUBLIC  </w:t>
        <w:br/>
        <w:t xml:space="preserve">Decision No. 16-DCC-90 of June 16, 2016  </w:t>
        <w:br/>
        <w:t xml:space="preserve">regarding the exclusive control of the law firm Taj by  </w:t>
        <w:br/>
        <w:t xml:space="preserve">the company Deloitte  </w:t>
        <w:br/>
        <w:t xml:space="preserve">The Competition Authority,  </w:t>
        <w:br/>
        <w:t xml:space="preserve">Having regard to the notification file submitted in full to the merger service on May 11, 2016,  </w:t>
        <w:br/>
        <w:t xml:space="preserve">regarding the exclusive control of the law firm Taj by the company Deloitte,  </w:t>
        <w:br/>
        <w:t xml:space="preserve">formalized by a memorandum of understanding dated May 4, 2016;  </w:t>
        <w:br/>
        <w:t xml:space="preserve">Having regard to Book IV of the Commercial Code relating to price and competition freedom, and  </w:t>
        <w:br/>
        <w:t xml:space="preserve">notably its Articles L. 430-1 to L. 430-7;  </w:t>
        <w:br/>
        <w:t xml:space="preserve">Adopts the following decision:  </w:t>
        <w:br/>
        <w:t xml:space="preserve">I. The concerned companies and the operation  </w:t>
        <w:br/>
        <w:t xml:space="preserve">1. Deloitte SAS (hereinafter "Deloitte") is the holding company at the head of the Deloitte group in France. The Deloitte group is primarily active in the sectors of audit and accounting for small, medium, and large enterprises. The group is also marginally active in the legal and tax consulting sector through its subsidiary In Extenso. Deloitte SAS is a member of the international Deloitte network specializing in statutory auditing, audit, accounting, and consulting. Nevertheless, while there is an exclusivity link between the two entities, Deloitte SAS constitutes an autonomous and fully independent company regarding its management and effective governance.  </w:t>
        <w:br/>
        <w:t xml:space="preserve">2. Taj SELAFA (hereinafter "Taj") is a law firm organized as a liberal professional company in the form of an anonymous company, specialized in legal consulting in business law. None of its partners holds a decisive influence over the company prior to the operation.  </w:t>
        <w:br/>
        <w:t xml:space="preserve">3. The operation consists of Deloitte acquiring 49.9% of the shares and voting rights of Taj, which will adopt the form of a simplified joint-stock liberal professional company. The remainder of the capital of Taj will be primarily held by its partners. Under its new bylaws, Taj will be managed by a board of directors composed of five members, including the president of Deloitte and two directors appointed by Deloitte, with the other two members being appointed by Taj's partners. The president of Deloitte will be the chairman of Taj's board of directors, vested with all necessary powers to act on behalf of the company in all circumstances. The board of directors will be responsible for appointing the CEO of Taj, determining the company's business directions, and approving decisions regarding strategy and annual budgets. Its decisions will be made by an absolute majority of the members present or represented. With three members out of five on the board of directors, Deloitte will exercise exclusive control over Taj following the operation.  </w:t>
        <w:br/>
        <w:t xml:space="preserve">4. As it results in the exclusive control of Taj by Deloitte, the notified operation constitutes a concentration within the meaning of Article L. 430-1 of the Commercial Code.  </w:t>
        <w:br/>
        <w:t xml:space="preserve">5. The concerned companies together achieve a total worldwide turnover excluding tax of more than 150 million euros (Deloitte: 967 million euros for the fiscal year ending May 31, 2015; Taj: 92 million euros for the same fiscal year). Each of these companies has achieved a turnover in France exceeding 50 million euros (Deloitte: 908 million euros for the fiscal year ending May 31, 2015; Taj: 80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Definition of the relevant markets  </w:t>
        <w:br/>
        <w:t xml:space="preserve">1. THE MARKET FOR CONSULTING, AUDIT, AND ACCOUNTING SERVICES  </w:t>
        <w:br/>
        <w:t xml:space="preserve">6. Decision-making practice has considered that the activities of audit and accounting firms cover six distinct markets: (i) the market for management consulting services, (ii) the market for financial advisory and assistance services to companies, (iii) the market for tax consulting and assistance services, (iv) the market for consulting services for companies in difficulty, (v) the market for audit and accounting services for small and medium-sized enterprises, and (vi) the market for audit and accounting services for large companies and listed companies.  </w:t>
        <w:br/>
        <w:t xml:space="preserve">7. The Commission has considered segmenting the management consulting market according to the services offered, distinguishing investment management consulting, human resources consulting, and insurance consulting, limited to financial services offered in this sector, without, however, resolving the issue of the exact delimitation of the relevant market.  </w:t>
        <w:br/>
        <w:t xml:space="preserve">8. In this case, only Deloitte is active in the following markets: the markets for audit and accounting services for large companies and small and medium-sized enterprises, management consulting services, financial advisory and assistance services to companies, and consulting services for companies in difficulty.  </w:t>
        <w:br/>
        <w:t xml:space="preserve">9. French decision-making practice has considered that the markets for consulting, audit, and accounting services essentially have a national dimension due to the fact that these services are "regulated by national regulatory requirements and that service providers, to be active in a country, must be established there." However, it has not excluded an international dimension for some of these markets.  </w:t>
        <w:br/>
        <w:t xml:space="preserve">10. In this case, the analysis will be conducted at the national level, and the question of the exact delimitation of the relevant markets may be left open in the absence of competitive issues.  </w:t>
        <w:br/>
        <w:t xml:space="preserve">2. THE MARKET FOR LEGAL CONSULTING AND ASSISTANCE  </w:t>
        <w:br/>
        <w:t xml:space="preserve">11. European decision-making practice has considered segmenting the market for legal consulting and assistance by distinguishing services essentially provided under national legislation from services of international dimension. It has also considered that tax consulting and assistance services may constitute a distinct market from other legal consulting and assistance services.  </w:t>
        <w:br/>
        <w:t xml:space="preserve">12. The notifying party suggests a segmentation of the legal consulting and assistance market based on the location of business law firms (in Paris, in the provinces, abroad), the origin of their headquarters, and their partnerships with major networks of audit and accounting firms.  </w:t>
        <w:br/>
        <w:t xml:space="preserve">13. In this case, only Taj engages in significant legal consulting and assistance activities. Deloitte is marginally active in the tax consulting and assistance segment through its subsidiary In Extenso, which offers this type of service to clients for whom it provides accounting expertise missions.  </w:t>
        <w:br/>
        <w:t>14. Regarding the geographical market, European practice has considered that the market for legal consulting and assistance has a national dimension while leaving the question open. In this case, the analysis will be conducted at the national level, and the question of the exact delimitation of the relevant markets may be left open in the absence of competitive issues.</w:t>
      </w:r>
    </w:p>
    <w:p>
      <w:r>
        <w:rPr>
          <w:b/>
        </w:rPr>
        <w:t>[Pages 4–4]</w:t>
      </w:r>
    </w:p>
    <w:p>
      <w:r>
        <w:t xml:space="preserve">III. Competitive Analysis  </w:t>
        <w:br/>
        <w:t xml:space="preserve">15. Both parties operate in the market for legal consulting and assistance. Regardless of the markets concerned, the market share of the new entity will not exceed 23% in the legal consulting and assistance market. Therefore, the present operation is not likely to harm competition through horizontal effects.  </w:t>
        <w:br/>
        <w:t xml:space="preserve">16. The two parties are also present in distinct but related markets: the market for consulting, auditing, and accounting services, and the market for legal consulting and assistance.  </w:t>
        <w:br/>
        <w:t xml:space="preserve">17. A concentration is likely to lead to conglomerate effects when the new entity expands or strengthens its presence in markets that are connected to other markets where it holds market power. However, the guidelines of the Competition Authority indicate that it is unlikely for a concentration to pose a risk of conglomerate effect if the new entity does not have a strong position in a market from which it can leverage an effect and refer to a threshold of 30% market share in this regard.  </w:t>
        <w:br/>
        <w:t xml:space="preserve">18. In the present case, however, the market share of the new entity will remain below 25% in the various concerned markets.  </w:t>
        <w:br/>
        <w:t xml:space="preserve">19. The operation is therefore not likely to harm competition through conglomerate effects.  </w:t>
        <w:br/>
        <w:t xml:space="preserve">DECIDES  </w:t>
        <w:br/>
        <w:t xml:space="preserve">Sole Article: The operation notified under number 16-065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