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https://www.autoritedelaconcurrence.fr/fr/decision-de-controle-des-concentrations/relative-la-prise-de-controle-exclusif-du-fonds-de-0</w:t>
      </w:r>
    </w:p>
    <w:p>
      <w:r>
        <w:t>Pages translated : 5</w:t>
      </w:r>
    </w:p>
    <w:p/>
    <w:p>
      <w:r>
        <w:rPr>
          <w:b/>
        </w:rPr>
        <w:t>[Pages 1–3]</w:t>
      </w:r>
    </w:p>
    <w:p>
      <w:r>
        <w:t xml:space="preserve">RÉPUBLIQUE FRANÇAISE  </w:t>
        <w:br/>
        <w:t xml:space="preserve">Decision No. 13-DCC-71 of June 24, 2013  </w:t>
        <w:br/>
        <w:t xml:space="preserve">regarding the exclusive control of the business assets of  </w:t>
        <w:br/>
        <w:t>the company Financière RSV by the company Carrefour France</w:t>
      </w:r>
    </w:p>
    <w:p>
      <w:r>
        <w:t xml:space="preserve">The Competition Authority,  </w:t>
        <w:br/>
        <w:t xml:space="preserve">Having regard to the notification file submitted in full to the merger service on May 17, 2013,  </w:t>
        <w:br/>
        <w:t xml:space="preserve">regarding the exclusive control of the company Financière RSV*, a subsidiary of the company ITM  </w:t>
        <w:br/>
        <w:t xml:space="preserve">Entreprises, by the company Carrefour France, a subsidiary of the Carrefour group, formalized by a  </w:t>
        <w:br/>
        <w:t xml:space="preserve">memorandum of understanding dated April 30, 2013;  </w:t>
        <w:br/>
        <w:t xml:space="preserve">Having regard to Book IV of the Commercial Code relating to price and competition freedom, and  </w:t>
        <w:br/>
        <w:t xml:space="preserve">notably its Articles L. 430-1 to L. 430-7;  </w:t>
        <w:br/>
        <w:t>Adopts the following decision:</w:t>
      </w:r>
    </w:p>
    <w:p>
      <w:r>
        <w:t xml:space="preserve">I. The concerned companies and the operation  </w:t>
        <w:br/>
        <w:t xml:space="preserve">1. Carrefour France is a company under French law owned by the Carrefour group, active in  </w:t>
        <w:br/>
        <w:t xml:space="preserve">the predominantly food distribution sector (hereinafter "Carrefour"). In France, the Carrefour group  </w:t>
        <w:br/>
        <w:t xml:space="preserve">operates hypermarkets and supermarkets under the brands Champion, Carrefour Planet, and  </w:t>
        <w:br/>
        <w:t xml:space="preserve">Carrefour Market. It also operates convenience stores under the brands Carrefour City, Carrefour  </w:t>
        <w:br/>
        <w:t xml:space="preserve">Contact, Shopi, 8 à Huit, Marché Plus, and Proxi. Carrefour also enters into brand and supply  </w:t>
        <w:br/>
        <w:t xml:space="preserve">contracts with companies operating retail stores predominantly selling food, allowing these  </w:t>
        <w:br/>
        <w:t xml:space="preserve">companies to operate their points of sale under one of the Carrefour group brands, to source  </w:t>
        <w:br/>
        <w:t xml:space="preserve">from Carrefour's purchasing centers, to benefit from purchasing conditions negotiated by Carrefour  </w:t>
        <w:br/>
        <w:t xml:space="preserve">with suppliers referenced by Carrefour, and to benefit from the services offered by Carrefour.  </w:t>
        <w:br/>
        <w:t>* Correction of a material error.</w:t>
      </w:r>
    </w:p>
    <w:p>
      <w:r>
        <w:t xml:space="preserve">2. The company ITM Entreprises, 100% controlled by the civil company des Mousquetaires, itself  </w:t>
        <w:br/>
        <w:t xml:space="preserve">owned by 1,403 individuals known as "associate members," leads and manages the network of  </w:t>
        <w:br/>
        <w:t xml:space="preserve">independent merchants known as the "Groupement des Mousquetaires" (hereinafter "ITM"). In its  </w:t>
        <w:br/>
        <w:t xml:space="preserve">capacity as franchisor, ITM Entreprises' main activity is the management of a network of retail  </w:t>
        <w:br/>
        <w:t xml:space="preserve">outlets, both food and non-food, operated by independent merchants under the brands Intermarché,  </w:t>
        <w:br/>
        <w:t xml:space="preserve">Ecomarché, Netto, Restaumarché, Poivre Rouge, Bricomarché, and Roady. This management is  </w:t>
        <w:br/>
        <w:t xml:space="preserve">carried out notably through the signing and monitoring of brand contracts with the companies  </w:t>
        <w:br/>
        <w:t xml:space="preserve">operating these retail outlets. ITM Entreprises also provides its franchisees with various services  </w:t>
        <w:br/>
        <w:t xml:space="preserve">for prospecting, consulting, training, etc. Finally, it offers franchisees the opportunity to benefit  </w:t>
        <w:br/>
        <w:t xml:space="preserve">from advantageous supply conditions with its national and regional subsidiaries, as well as with  </w:t>
        <w:br/>
        <w:t xml:space="preserve">external suppliers referenced outside the "Groupement des Mousquetaires." The predominantly food  </w:t>
        <w:br/>
        <w:t xml:space="preserve">business assets subject to the operation are currently controlled by the company Financière RSV,  </w:t>
        <w:br/>
        <w:t xml:space="preserve">a subsidiary of ITM Entreprises.  </w:t>
        <w:br/>
        <w:t xml:space="preserve">3. The notified operation, formalized by a memorandum of understanding dated April 30, 2013,  </w:t>
        <w:br/>
        <w:t xml:space="preserve">consists of Carrefour's acquisition of the company Financière RSV* which operates a predominantly  </w:t>
        <w:br/>
        <w:t xml:space="preserve">food business located in Beauvais (60), under the Intermarché brand. As it results in the exclusive  </w:t>
        <w:br/>
        <w:t xml:space="preserve">control of the company Financière RSV* by Carrefour France, the notified operation constitutes a  </w:t>
        <w:br/>
        <w:t xml:space="preserve">concentration within the meaning of Article L. 430-1 of the Commercial Code.  </w:t>
        <w:br/>
        <w:t xml:space="preserve">4. Furthermore, this operation follows Carrefour's acquisition from ITM of five business assets  </w:t>
        <w:br/>
        <w:t xml:space="preserve">located in Céret (66), Mauléon (64), Vic-Fezensac (32), Fleurance (32), and Bergerac (24). These  </w:t>
        <w:br/>
        <w:t xml:space="preserve">acquisitions were authorized by the Competition Authority on December 28, 20121.  </w:t>
        <w:br/>
        <w:t xml:space="preserve">5. The acquisitions already made and the one envisaged constitute a concentration within the  </w:t>
        <w:br/>
        <w:t xml:space="preserve">meaning of Article L. 430-1 of the Commercial Code. Indeed, in accordance with Article 5,  </w:t>
        <w:br/>
        <w:t xml:space="preserve">paragraph 2, second subparagraph, of Regulation No. 139/2004 to which Article L. 430-2 of the  </w:t>
        <w:br/>
        <w:t xml:space="preserve">Commercial Code refers, "(...) two or more operations within the meaning of the first subparagraph  </w:t>
        <w:br/>
        <w:t xml:space="preserve">that have taken place within a period of two years between the same persons or companies are to  </w:t>
        <w:br/>
        <w:t xml:space="preserve">be considered as a single concentration occurring on the date of the last operation." In these  </w:t>
        <w:br/>
        <w:t xml:space="preserve">conditions, given that a period of less than two years must elapse between these two operations,  </w:t>
        <w:br/>
        <w:t xml:space="preserve">it should be considered that this is a single operation.  </w:t>
        <w:br/>
        <w:t xml:space="preserve">6. The concerned companies operate several retail stores and together achieve a total global  </w:t>
        <w:br/>
        <w:t xml:space="preserve">turnover of more than 75 million (Carrefour: 76.8 billion euros in global turnover for the 2012  </w:t>
        <w:br/>
        <w:t xml:space="preserve">financial year; target business assets: 48.2 million euros for the same financial year). The  </w:t>
        <w:br/>
        <w:t xml:space="preserve">concerned companies achieve in France in the retail sector a turnover exceeding 15 million euros  </w:t>
        <w:br/>
        <w:t xml:space="preserve">(Carrefour: 35.3 billion euros in France for the 2012 financial year; target business assets: 48.2  </w:t>
        <w:br/>
        <w:t xml:space="preserve">million euros for the same financial year). Given these turnover figures, the operation does not  </w:t>
        <w:br/>
        <w:t xml:space="preserve">have a community dimension. On the other hand, the control thresholds related to retail mentioned  </w:t>
        <w:br/>
        <w:t xml:space="preserve">in point II of Article L. 430-2 of the Commercial Code are exceeded. The present operation is thus  </w:t>
        <w:br/>
        <w:t xml:space="preserve">subject to the provisions of Articles L. 430-3 and following of the Commercial Code relating to  </w:t>
        <w:br/>
        <w:t xml:space="preserve">economic concentration.  </w:t>
        <w:br/>
        <w:t xml:space="preserve">1 Decision of the Competition Authority No. 12-DCC-185 of December 28, 2012.  </w:t>
        <w:br/>
        <w:t>* Correction of a material error.</w:t>
      </w:r>
    </w:p>
    <w:p>
      <w:r>
        <w:t xml:space="preserve">II. Delimitation of Relevant Markets  </w:t>
        <w:br/>
        <w:t xml:space="preserve">7. According to the consistent practice of national and community competition authorities, two  </w:t>
        <w:br/>
        <w:t xml:space="preserve">categories of markets can be delineated in the predominantly food distribution sector. These are, on  </w:t>
        <w:br/>
        <w:t xml:space="preserve">the one hand, the "downstream" markets, of local dimension, which bring together retail businesses  </w:t>
        <w:br/>
        <w:t xml:space="preserve">and consumers for the sale of consumer goods and, on the other hand, the "upstream" markets for  </w:t>
        <w:br/>
        <w:t xml:space="preserve">the supply of retail businesses with everyday consumer goods, of national dimension.  </w:t>
        <w:br/>
        <w:t xml:space="preserve">A. DOWNSTREAM DISTRIBUTION MARKETS  </w:t>
        <w:br/>
        <w:t xml:space="preserve">1. SERVICE MARKETS  </w:t>
        <w:br/>
        <w:t xml:space="preserve">8. Concerning the retail sale of everyday consumer goods, competition authorities, both community  </w:t>
        <w:br/>
        <w:t xml:space="preserve">and national, have distinguished six categories of commerce using several criteria, notably the size  </w:t>
        <w:br/>
        <w:t xml:space="preserve">of the stores, their sales techniques, their accessibility, the nature of the service provided, and the  </w:t>
        <w:br/>
        <w:t xml:space="preserve">range of products offered: (i) hypermarkets, (ii) supermarkets, (iii) specialized trade, (iv) small  </w:t>
        <w:br/>
        <w:t xml:space="preserve">retail trade, (v) large discount stores, (vi) mail order sales.  </w:t>
        <w:br/>
        <w:t xml:space="preserve">9. Hypermarkets are usually defined as food-dominated stores with a legal sales area exceeding  </w:t>
        <w:br/>
        <w:t xml:space="preserve">2,500 m².  </w:t>
        <w:br/>
        <w:t xml:space="preserve">10. In this case, the company Financière RSV operates a business under the Intermarché brand and  </w:t>
        <w:br/>
        <w:t xml:space="preserve">currently occupies a sales area of 6,400 m², which therefore falls into the category of hypermarkets.  </w:t>
        <w:br/>
        <w:t xml:space="preserve">2. GEOGRAPHICAL DELIMITATION  </w:t>
        <w:br/>
        <w:t xml:space="preserve">11. In its recent decisions regarding operations involving hypermarkets or supermarkets, the  </w:t>
        <w:br/>
        <w:t xml:space="preserve">Competition Authority has recalled that depending on the size of the stores concerned, the  </w:t>
        <w:br/>
        <w:t xml:space="preserve">conditions of competition should be assessed in two different areas:  </w:t>
        <w:br/>
        <w:t xml:space="preserve">- a first market where the demand from consumers in an area meets the supply of hypermarkets  </w:t>
        <w:br/>
        <w:t xml:space="preserve">to which they have access within less than 30 minutes of driving and which are, from their point of  </w:t>
        <w:br/>
        <w:t xml:space="preserve">view, substitutable for each other;  </w:t>
        <w:br/>
        <w:t xml:space="preserve">- a second market where the demand from consumers meets the supply of supermarkets and  </w:t>
        <w:br/>
        <w:t xml:space="preserve">equivalent forms of commerce located within less than 15 minutes of driving time. These latter forms  </w:t>
        <w:br/>
        <w:t xml:space="preserve">of commerce may include, in addition to supermarkets, hypermarkets located near consumers and  </w:t>
        <w:br/>
        <w:t xml:space="preserve">discount stores.  </w:t>
        <w:br/>
        <w:t xml:space="preserve">12. Other criteria may nevertheless be taken into account to assess the impact of a concentration on  </w:t>
        <w:br/>
        <w:t xml:space="preserve">the competitive situation in retail distribution markets, which may lead to refining, in the specific case,  </w:t>
        <w:br/>
        <w:t xml:space="preserve">the usual delimitations presented above.  </w:t>
        <w:br/>
        <w:t xml:space="preserve">13. In this case, the store concerned falling into the category of hypermarkets, the competitive  </w:t>
        <w:br/>
        <w:t>analysis will be conducted on the market of hypermarkets located within a 30</w:t>
      </w:r>
    </w:p>
    <w:p>
      <w:r>
        <w:rPr>
          <w:b/>
        </w:rPr>
        <w:t>[Pages 4–5]</w:t>
      </w:r>
    </w:p>
    <w:p>
      <w:r>
        <w:t>minutes by car around Beauvais (60) as well as on the market including supermarkets, hypermarkets, local shops, and discount stores located within a 15-minute radius around Beauvais.</w:t>
      </w:r>
    </w:p>
    <w:p>
      <w:r>
        <w:t>B. UPSTREAM SUPPLY MARKETS</w:t>
      </w:r>
    </w:p>
    <w:p>
      <w:r>
        <w:t>14. Regarding supply markets, the European Commission has identified the existence of national dimension markets by major product groups, a delineation followed by national authorities.</w:t>
      </w:r>
    </w:p>
    <w:p>
      <w:r>
        <w:t>15. There is no reason to challenge this delineation on the occasion of the present operation.</w:t>
      </w:r>
    </w:p>
    <w:p>
      <w:r>
        <w:t>III. Competitive Analysis</w:t>
      </w:r>
    </w:p>
    <w:p>
      <w:r>
        <w:t>A. DOWNSTREAM FOOD-DOMINATED DISTRIBUTION MARKET</w:t>
      </w:r>
    </w:p>
    <w:p>
      <w:r>
        <w:t>16. In the market comprising hypermarkets located within a 30-minute driving zone around Beauvais, Carrefour operates before the operation two hypermarkets with a combined area of 12,900 m², representing a market share of [10-20] %. The target hypermarket represents, with an area of 6,400 m², [5-10] % of market shares. The operation will therefore confer to the Carrefour group a market share of [20-30] % in this area.</w:t>
      </w:r>
    </w:p>
    <w:p>
      <w:r>
        <w:t>17. In the market comprising supermarkets and equivalent forms of trade located within a 15-minute driving zone around Beauvais, the target store represents [10-20] % of sales areas. Carrefour's market share before the operation is [5-10] %. Following the concentration, Carrefour will therefore control [20-30] % of the areas in the zone and will face competition from food retail outlets operated under the brands of the Auchan group (representing [20-30] % of the areas), Intermarché ([10-20] %), Système U ([10-20] %), Dia/Ed ([5-10] %), Match ([0-5] %), Lidl ([0-5] %), and Aldi ([0-5] %).</w:t>
      </w:r>
    </w:p>
    <w:p>
      <w:r>
        <w:t>18. Consequently, the operation is not likely to harm competition in the markets concerned.</w:t>
      </w:r>
    </w:p>
    <w:p>
      <w:r>
        <w:t>B. UPSTREAM SUPPLY MARKET</w:t>
      </w:r>
    </w:p>
    <w:p>
      <w:r>
        <w:t>19. Regarding upstream supply markets, it should be noted that the operation is limited to a store that will represent only a marginal part of the revenue generated by the Carrefour group in France. The acquisition is therefore not likely to significantly strengthen the purchasing power of the Carrefour group, across all products as well as by major product groups.</w:t>
      </w:r>
    </w:p>
    <w:p>
      <w:r>
        <w:t>20. Consequently, the operation is not likely to harm competition both in the downstream market and in the upstream market of distribution.</w:t>
      </w:r>
    </w:p>
    <w:p>
      <w:r>
        <w:t>DECIDES</w:t>
      </w:r>
    </w:p>
    <w:p>
      <w:r>
        <w:t>Sole Article: The operation notified under number 13-071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