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https://www.autoritedelaconcurrence.fr/fr/decision-de-controle-des-concentrations/relative-la-prise-de-controle-exclusif-du-fonds-de-1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17-DCC-123 of August 4, 2017  </w:t>
        <w:br/>
        <w:t xml:space="preserve">regarding the exclusive control acquisition of the business assets of  </w:t>
        <w:br/>
        <w:t xml:space="preserve">Belle Étoile Automobiles SAS Jean Vielcanet by Priod Holding  </w:t>
        <w:br/>
        <w:t xml:space="preserve">The Competition Authority,  </w:t>
        <w:br/>
        <w:t xml:space="preserve">Having regard to the complete notification file sent to the mergers department on July 10, 2017,  </w:t>
        <w:br/>
        <w:t xml:space="preserve">concerning the exclusive control acquisition by Priod Holding of the business assets operated  </w:t>
        <w:br/>
        <w:t xml:space="preserve">by Belle Etoile Automobiles SAS Jean Vielcanet, formalized by a memorandum of understanding dated June 7,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submitted by the notifying party during the investigation;  </w:t>
        <w:br/>
        <w:t xml:space="preserve">Adopts the following decision:  </w:t>
        <w:br/>
        <w:t xml:space="preserve">1. The notified operation consists of the exclusive control acquisition by Priod Holding of the  </w:t>
        <w:br/>
        <w:t xml:space="preserve">business assets operated by Belle Etoile Automobiles SAS Jean Vielcanet,  </w:t>
        <w:br/>
        <w:t xml:space="preserve">which is active in the sectors of distribution and repair of Citroën brand motor vehicles in the department of Essonne (91). It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jurisdiction of the European Union. On the other hand, the control thresholds mentioned in II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17-138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