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https://www.autoritedelaconcurrence.fr/fr/decision-de-controle-des-concentrations/relative-la-prise-de-controle-exclusif-du-fonds-de-2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17-DCC-202 of November 30, 2017</w:t>
        <w:br/>
        <w:t>regarding the exclusive control acquisition of the business assets of the</w:t>
        <w:br/>
        <w:t>company Grand Garage Sparnacien by the company Auto Bernard</w:t>
        <w:br/>
        <w:t>Champagne Ardennes</w:t>
        <w:br/>
        <w:t>The Competition Authority,</w:t>
        <w:br/>
        <w:t>Having regard to the complete notification file submitted to the mergers department on November 9, 2017,</w:t>
        <w:br/>
        <w:t>concerning the exclusive control acquisition of the business assets of the company Grand Garage</w:t>
        <w:br/>
        <w:t>Sparnacien (hereinafter GGS) by the company Auto Bernard Champagne Ardennes (hereinafter ABCA),</w:t>
        <w:br/>
        <w:t>formalized by a business asset transfer agreement with suspensive conditions dated October 25, 2017;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ABCA, a subsidiary of the company Bernard</w:t>
        <w:br/>
        <w:t>Participation, of the exclusive control of the business assets of the company GGS, active in the distribution and</w:t>
        <w:br/>
        <w:t>repair of motor vehicles under the Citroën brand in the Marne (51). This operation constitutes a concentration</w:t>
        <w:br/>
        <w:t>operation within the meaning of Article L. 430-1 of the Commercial Code. Given the turnover generated by the</w:t>
        <w:br/>
        <w:t>concerned companies, the operation does not fall under the jurisdiction of the European Union. However, the</w:t>
        <w:br/>
        <w:t>thresholds for control related to retail trade mentioned in point II of Article L. 430-2 of the Commercial Code</w:t>
        <w:br/>
        <w:t>are exceeded. The present operation is therefore subject to the provisions of Articles L. 430-3 and following of</w:t>
        <w:br/>
        <w:t>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17-241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