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https://www.autoritedelaconcurrence.fr/fr/decision-de-controle-des-concentrations/relative-la-prise-de-controle-exclusif-du-fonds-de-3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19-DCC-56 of April 5, 2019  </w:t>
        <w:br/>
        <w:t xml:space="preserve">regarding the exclusive control acquisition of the business assets of  </w:t>
        <w:br/>
        <w:t xml:space="preserve">the company CAP Janet Automobile by the company Prestige Auto Marseille  </w:t>
        <w:br/>
        <w:t xml:space="preserve">The Competition Authority,  </w:t>
        <w:br/>
        <w:t xml:space="preserve">Having regard to the complete notification file sent to the mergers department on March 4, 2019,  </w:t>
        <w:br/>
        <w:t xml:space="preserve">concerning the exclusive control acquisition of the business assets of the company CAP Janet Automobile,  </w:t>
        <w:br/>
        <w:t xml:space="preserve">by the company Prestige Auto Marseille, and formalized by a sale agreement under suspensive conditions dated February 8,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Prestige Auto  </w:t>
        <w:br/>
        <w:t xml:space="preserve">Marseille, ultimately controlled by the holding company SAS Satac Saint Yves  </w:t>
        <w:br/>
        <w:t xml:space="preserve">(Delieuvin Group), of the business assets of the company CAP Janet Automobile, which  </w:t>
        <w:br/>
        <w:t xml:space="preserve">operates two car dealerships for Nissan and Infiniti brands in the department of  </w:t>
        <w:br/>
        <w:t xml:space="preserve">Bouches-du-Rhône (13). The notified operation constitutes a concentration operation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retail trade control thresholds mentioned in point II of 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19-028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