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https://www.autoritedelaconcurrence.fr/fr/decision-de-controle-des-concentrations/relative-la-prise-de-controle-exclusif-du-fonds-de-4</w:t>
      </w:r>
    </w:p>
    <w:p>
      <w:r>
        <w:t>Pages translated : 2</w:t>
      </w:r>
    </w:p>
    <w:p/>
    <w:p>
      <w:r>
        <w:rPr>
          <w:b/>
        </w:rPr>
        <w:t>[Pages 1–2]</w:t>
      </w:r>
    </w:p>
    <w:p>
      <w:r>
        <w:t>FRENCH REPUBLIC</w:t>
        <w:br/>
        <w:t>Decision No. 19-DCC-196 of October 18, 2019</w:t>
        <w:br/>
        <w:t>regarding the exclusive control acquisition of the business assets for</w:t>
        <w:br/>
        <w:t>distribution and repair of motorcycles of BMW Distribution by</w:t>
        <w:br/>
        <w:t>BI19</w:t>
        <w:br/>
        <w:t>The Competition Authority,</w:t>
        <w:br/>
        <w:t>Having regard to the complete notification file submitted to the mergers department on September 20, 2019, concerning the exclusive control acquisition of the business assets for distribution and repair of motorcycles of BMW Distribution by BI19, formalized by a transfer contract dated September 19, 2019;</w:t>
        <w:br/>
        <w:t>Having regard to Book IV of the Commercial Code relating to the freedom of prices and competition, and in particular its Articles L. 430-1 to L. 430-7;</w:t>
        <w:br/>
        <w:t>Having regard to the elements provided by the notifying party during the investigation;</w:t>
        <w:br/>
        <w:t>Adopts the following decision:</w:t>
        <w:br/>
        <w:t>1. The notified operation consists of the exclusive control acquisition by BI19, a subsidiary of the Bernis Investment group, of the business assets for distribution and repair of motorcycles of BMW Distribution, which is operated within two establishments located respectively on Avenue de la Grande Armée and Rue de Tocqueville in Paris (75). It constitutes a concentration operation within the meaning of Article L. 430-1 of the Commercial Code. Given the turnover achieved by the concerned companies,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19-241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