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https://www.autoritedelaconcurrence.fr/fr/decision-de-controle-des-concentrations/relative-la-prise-de-controle-exclusif-du-fonds-de-6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24-DCC-42 of March 11, 2024  </w:t>
        <w:br/>
        <w:t xml:space="preserve">regarding the exclusive control acquisition of the business operated  </w:t>
        <w:br/>
        <w:t>by the company Iveco LVI by the Maurin group</w:t>
      </w:r>
    </w:p>
    <w:p>
      <w:r>
        <w:t>The Competition Authority,</w:t>
      </w:r>
    </w:p>
    <w:p>
      <w:r>
        <w:t xml:space="preserve">Having regard to the complete notification file sent to the mergers department on February 22, 2024,  </w:t>
        <w:br/>
        <w:t xml:space="preserve">concerning the exclusive control acquisition of the business operated by the company Iveco LVI in  </w:t>
        <w:br/>
        <w:t xml:space="preserve">Andrézieux-Bouthéon, Le Coteau, Brignais, Mions, and Saint-Priest formalized by a letter  </w:t>
        <w:br/>
        <w:t>of intent dated November 2, 2023;</w:t>
      </w:r>
    </w:p>
    <w:p>
      <w:r>
        <w:t xml:space="preserve">Having regard to Book IV of the Commercial Code relating to the freedom of prices and competition, and  </w:t>
        <w:br/>
        <w:t>notably its Articles L. 430-1 to L. 430-7;</w:t>
      </w:r>
    </w:p>
    <w:p>
      <w:r>
        <w:t>Having regard to the additional elements provided by the notifying party during the investigation;</w:t>
      </w:r>
    </w:p>
    <w:p>
      <w:r>
        <w:t xml:space="preserve">Adopts the following decision:  </w:t>
        <w:br/>
        <w:t xml:space="preserve">1. The notified operation consists of the exclusive control acquisition by the Maurin group of the business operated by the company Iveco LVI, including five industrial vehicle dealerships in Andrézieux-Bouthéon (42), Le Coteau (42), Brignais (69), Mions (69), and Saint-Priest (69). It constitutes a concentration operation within the meaning of Article L. 430-1 of the Commercial Code. Given the turnover achieved by the concerned companies, the operation does not fall under the jurisdiction of the European Union. However, the control thresholds mentioned in I of Article L. 430-2 of the Commercial Code are exceeded. The present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24-058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