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https://www.autoritedelaconcurrence.fr/fr/decision-de-controle-des-concentrations/relative-la-prise-de-controle-exclusif-du-fonds-de-7</w:t>
      </w:r>
    </w:p>
    <w:p>
      <w:r>
        <w:t>Pages translated : 2</w:t>
      </w:r>
    </w:p>
    <w:p/>
    <w:p>
      <w:r>
        <w:rPr>
          <w:b/>
        </w:rPr>
        <w:t>[Pages 1–2]</w:t>
      </w:r>
    </w:p>
    <w:p>
      <w:r>
        <w:t>FRENCH REPUBLIC</w:t>
        <w:br/>
        <w:t>Decision No. 24-DCC-121 of June 19, 2024</w:t>
        <w:br/>
        <w:t>regarding the exclusive control acquisition of the business assets</w:t>
        <w:br/>
        <w:t>Rue du commerce by the LDLC group</w:t>
        <w:br/>
        <w:t>The Competition Authority,</w:t>
        <w:br/>
        <w:t>Having regard to the complete notification file submitted to the mergers department on May 31, 2024,</w:t>
        <w:br/>
        <w:t>concerning the exclusive control acquisition of the business assets Rue du commerce by the LDLC group, formalized by a business asset transfer agreement dated April 5, 2024;</w:t>
        <w:br/>
        <w:t>Having regard to Book IV of the Commercial Code relating to the freedom of prices and competition, and in particular its Articles L. 430-1 to L. 430-7;</w:t>
        <w:br/>
        <w:t>Adopts the following decision:</w:t>
        <w:br/>
        <w:t>1. The notified operation consists of the exclusive control acquisition by the LDLC group of the business assets of Rue du commerce, active in the online sale of computer products, components, and high-tech items. It constitutes a concentration operation within the meaning of Article L. 430-1 of the Commercial Code. Given the revenues generated by the companies involved,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24-098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