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https://www.autoritedelaconcurrence.fr/fr/decision-de-controle-des-concentrations/relative-la-prise-de-controle-exclusif-du-fonds-de-9</w:t>
      </w:r>
    </w:p>
    <w:p>
      <w:r>
        <w:t>Pages translated : 2</w:t>
      </w:r>
    </w:p>
    <w:p/>
    <w:p>
      <w:r>
        <w:rPr>
          <w:b/>
        </w:rPr>
        <w:t>[Pages 1–2]</w:t>
      </w:r>
    </w:p>
    <w:p>
      <w:r>
        <w:t xml:space="preserve">FRENCH REPUBLIC  </w:t>
        <w:br/>
        <w:t xml:space="preserve">Decision No. 25-DCC-182 of August 6, 2025  </w:t>
        <w:br/>
        <w:t xml:space="preserve">regarding the exclusive control acquisition of the business assets held  </w:t>
        <w:br/>
        <w:t xml:space="preserve">by SAS SOPEMA (Société Persannaise de Matériel Automobile)  </w:t>
        <w:br/>
        <w:t xml:space="preserve">by the company SAS Vauban Ouest Auto  </w:t>
        <w:br/>
        <w:t xml:space="preserve">The Competition Authority,  </w:t>
        <w:br/>
        <w:t xml:space="preserve">Having regard to the complete notification file submitted to the mergers department on July 21, 2025,  </w:t>
        <w:br/>
        <w:t xml:space="preserve">concerning the exclusive control acquisition of the business assets held by SAS SOPEMA  </w:t>
        <w:br/>
        <w:t xml:space="preserve">(Société Persannaise de Matériel Automobile) by the company SAS Vauban Ouest Auto, formalized  </w:t>
        <w:br/>
        <w:t xml:space="preserve">by a bilateral promise of sale of business assets signed on July 8,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SAS Vauban Ouest Auto, of the business assets held by SAS SOPEMA, which is engaged in the activity of automobile dealership for the Citroën brand in Persan (95).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25-190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