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https://www.autoritedelaconcurrence.fr/fr/decision-de-controle-des-concentrations/relative-la-prise-de-controle-exclusif-du-groupe-0</w:t>
      </w:r>
    </w:p>
    <w:p>
      <w:r>
        <w:t>Pages translated : 2</w:t>
      </w:r>
    </w:p>
    <w:p/>
    <w:p>
      <w:r>
        <w:rPr>
          <w:b/>
        </w:rPr>
        <w:t>[Pages 1–2]</w:t>
      </w:r>
    </w:p>
    <w:p>
      <w:r>
        <w:t xml:space="preserve">FRENCH REPUBLIC  </w:t>
        <w:br/>
        <w:t xml:space="preserve">Decision No. 15-DCC-89 of 16 July 2015  </w:t>
        <w:br/>
        <w:t xml:space="preserve">regarding the exclusive control acquisition of the Chateauform’ group by  </w:t>
        <w:br/>
        <w:t>Naxicap Partners</w:t>
      </w:r>
    </w:p>
    <w:p>
      <w:r>
        <w:t>The Competition Authority,</w:t>
      </w:r>
    </w:p>
    <w:p>
      <w:r>
        <w:t xml:space="preserve">Having regard to the complete notification file submitted to the mergers department on 19 June 2015,  </w:t>
        <w:br/>
        <w:t xml:space="preserve">concerning the exclusive control acquisition of the Chateauform’ group by Naxicap Partners, and  </w:t>
        <w:br/>
        <w:t>materialized by a Term Sheet dated 4 June 2015;</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exclusive control acquisition of the Chateauform’ group,  </w:t>
        <w:br/>
        <w:t>primarily active in the management of sites dedicated to hosting seminars for companies, by the company Naxicap Partners. This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15-106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