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https://www.autoritedelaconcurrence.fr/fr/decision-de-controle-des-concentrations/relative-la-prise-de-controle-exclusif-du-groupe-1</w:t>
      </w:r>
    </w:p>
    <w:p>
      <w:r>
        <w:t>Pages translated : 2</w:t>
      </w:r>
    </w:p>
    <w:p/>
    <w:p>
      <w:r>
        <w:rPr>
          <w:b/>
        </w:rPr>
        <w:t>[Pages 1–2]</w:t>
      </w:r>
    </w:p>
    <w:p>
      <w:r>
        <w:t xml:space="preserve">FRENCH REPUBLIC  </w:t>
        <w:br/>
        <w:t xml:space="preserve">Decision No. 18-DCC-04 of January 5, 2018  </w:t>
        <w:br/>
        <w:t xml:space="preserve">regarding the exclusive control acquisition of the AgroBiothers group by  </w:t>
        <w:br/>
        <w:t xml:space="preserve">Gimv France SAS  </w:t>
        <w:br/>
        <w:t xml:space="preserve">The Competition Authority,  </w:t>
        <w:br/>
        <w:t xml:space="preserve">Having regard to the complete notification file submitted to the mergers department on December 8, 2017,  </w:t>
        <w:br/>
        <w:t xml:space="preserve">concerning the exclusive control acquisition of the AgroBiothers group by Gimv France SAS,  </w:t>
        <w:br/>
        <w:t xml:space="preserve">materialized by a transfer agreement dated November 20,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Gimv France SAS  </w:t>
        <w:br/>
        <w:t xml:space="preserve">of the AgroBiothers group, which is active in the sectors of food products, hygiene,  </w:t>
        <w:br/>
        <w:t xml:space="preserve">care, and accessories for pets.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17-261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