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25-DCC-159 of July 4, 2025  </w:t>
        <w:br/>
        <w:t xml:space="preserve">regarding the exclusive control acquisition of the Nutrisens group by the  </w:t>
        <w:br/>
        <w:t xml:space="preserve">Cinven group  </w:t>
        <w:br/>
        <w:t xml:space="preserve">The Competition Authority,  </w:t>
        <w:br/>
        <w:t xml:space="preserve">Having regard to the complete notification file submitted to the mergers department on June 6, 2025, concerning  </w:t>
        <w:br/>
        <w:t xml:space="preserve">the exclusive control acquisition of Nutrisens Expansion SAS and its subsidiaries by  </w:t>
        <w:br/>
        <w:t xml:space="preserve">Eighth Cinven Fund, formalized by a unilateral purchase promise dated May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exclusive control acquisition of Nutrisens Expansion  </w:t>
        <w:br/>
        <w:t xml:space="preserve">and its subsidiaries by Eighth Cinven Fund, belonging to the Cinven group. The sectors  </w:t>
        <w:br/>
        <w:t xml:space="preserve">concerned include in particular those of health nutritional products, dietary supplements,  </w:t>
        <w:br/>
        <w:t xml:space="preserve">water, and non-alcoholic refreshing beverages. Given the turnover 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25-151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