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https://www.autoritedelaconcurrence.fr/fr/decision-de-controle-des-concentrations/relative-la-prise-de-controle-exclusif-du-groupe-2</w:t>
      </w:r>
    </w:p>
    <w:p>
      <w:r>
        <w:t>Pages translated : 2</w:t>
      </w:r>
    </w:p>
    <w:p/>
    <w:p>
      <w:r>
        <w:rPr>
          <w:b/>
        </w:rPr>
        <w:t>[Pages 1–2]</w:t>
      </w:r>
    </w:p>
    <w:p>
      <w:r>
        <w:t xml:space="preserve">FRENCH REPUBLIC  </w:t>
        <w:br/>
        <w:t xml:space="preserve">Decision No. 18-DCC-136 of August 10, 2018  </w:t>
        <w:br/>
        <w:t xml:space="preserve">regarding the exclusive control acquisition of the Axelliance group by the  </w:t>
        <w:br/>
        <w:t xml:space="preserve">company Apax Partners  </w:t>
        <w:br/>
        <w:t xml:space="preserve">The Competition Authority,  </w:t>
        <w:br/>
        <w:t xml:space="preserve">Having regard to the complete notification file submitted to the mergers department on July 17, 2018,  </w:t>
        <w:br/>
        <w:t xml:space="preserve">concerning the exclusive control acquisition of Axelliance Holding SAS and its subsidiaries (hereinafter, "Axelliance group") by the portfolio management company Apax Partners SAS (hereinafter, "Apax Partners"), materialized by a share purchase agreement dated  </w:t>
        <w:br/>
        <w:t xml:space="preserve">July 11, 2018;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transaction consists of the acquisition, via the company Fides Acquisitions, controlled by  </w:t>
        <w:br/>
        <w:t xml:space="preserve">Apax Partners, of the exclusive control of the Axelliance group. It constitutes a concentration within the meaning of Article L. 430-1 of the Commercial Code. Given the turnover achieved by the concerned companies,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  </w:t>
        <w:br/>
        <w:t xml:space="preserve">2. The markets concerned by the transaction are the markets for the distribution of insurance products, which are consistently defined by the decision-making practice of the Competition Authority.  </w:t>
        <w:br/>
        <w:t xml:space="preserve">3. Regardless of the segmentations retained, the combined market shares of the parties do not exceed 25%, with an increment that does not exceed two points.  </w:t>
        <w:br/>
        <w:t>4. Considering the elements of the file and in light of points 384 and 398 of the guidelines of the Competition Authority regarding the control of concentrations, the transaction is not likely to harm competition.</w:t>
      </w:r>
    </w:p>
    <w:p>
      <w:r>
        <w:t xml:space="preserve">DECIDES  </w:t>
        <w:br/>
        <w:t xml:space="preserve">Sole Article: The notified transaction under number 18-135 is authorized.  </w:t>
        <w:br/>
        <w:t xml:space="preserve">The Vice-President,  </w:t>
        <w:br/>
        <w:t xml:space="preserve">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