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https://www.autoritedelaconcurrence.fr/fr/decision-de-controle-des-concentrations/relative-la-prise-de-controle-exclusif-du-groupe-2l</w:t>
      </w:r>
    </w:p>
    <w:p>
      <w:r>
        <w:t>Pages translated : 2</w:t>
      </w:r>
    </w:p>
    <w:p/>
    <w:p>
      <w:r>
        <w:rPr>
          <w:b/>
        </w:rPr>
        <w:t>[Pages 1–2]</w:t>
      </w:r>
    </w:p>
    <w:p>
      <w:r>
        <w:t>FRENCH REPUBLIC</w:t>
        <w:br/>
        <w:t>Decision No. 24-DCC-40 of March 6, 2024</w:t>
        <w:br/>
        <w:t>regarding the exclusive control acquisition of the 2L Logistics group by the</w:t>
        <w:br/>
        <w:t>Stellantis group</w:t>
        <w:br/>
        <w:t>The Competition Authority,</w:t>
        <w:br/>
        <w:t>Having regard to the complete notification file submitted to the mergers department on February 20, 2024,</w:t>
        <w:br/>
        <w:t>concerning the exclusive control acquisition of the 2L Logistics group by the Stellantis group, formalized</w:t>
        <w:br/>
        <w:t>by a share purchase agreement dated December 21, 2023;</w:t>
        <w:br/>
        <w:t>Having regard to Book IV of the Commercial Code relating to the freedom of prices and competition, and</w:t>
        <w:br/>
        <w:t>in particular its Articles L. 430-1 to L. 430-7;</w:t>
        <w:br/>
        <w:t>Adopts the following decision:</w:t>
        <w:br/>
        <w:t>1. The notified transaction consists of the exclusive control acquisition by the Stellantis group of the 2L Logistics group, which is primarily active in the sectors of providing automotive logistics services and the transportation of motor vehicles. The transaction constitutes a concentration within the meaning of Article L. 430-1 of the Commercial Code. Given the revenues generated by the companies involved,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br/>
        <w:t>2. In light of the elements of the file, the transaction is not likely to harm competition in the relevant markets.</w:t>
      </w:r>
    </w:p>
    <w:p>
      <w:r>
        <w:t>DECIDES</w:t>
        <w:br/>
        <w:t>Sole Article: The transaction notified under number 23-338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