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20-DCC-128 of September 17, 2020</w:t>
        <w:br/>
        <w:t>regarding the exclusive control acquisition of the Meilleurtaux group by the</w:t>
        <w:br/>
        <w:t>Silver Lake group</w:t>
        <w:br/>
        <w:t>The Competition Authority,</w:t>
        <w:br/>
        <w:t>Having regard to the complete notification file submitted to the mergers department on August 27, 2020,</w:t>
        <w:br/>
        <w:t>concerning the exclusive control acquisition of the Meilleurtaux group by the Silver Lake group,</w:t>
        <w:br/>
        <w:t>formalized by a put option letter and a draft share purchase agreement dated</w:t>
        <w:br/>
        <w:t>July 21, 2020;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transaction consists of the exclusive control acquisition by the Silver Lake group of the</w:t>
        <w:br/>
        <w:t>company MTX Frégate Investment I, the parent company of the Meilleurtaux group active in the brokerage</w:t>
        <w:br/>
        <w:t>of financial products, and in price comparison websites. It constitutes a</w:t>
        <w:br/>
        <w:t>concentration operation within the meaning of Article L. 430-1 of the Commercial Code. Given the</w:t>
        <w:br/>
        <w:t>turnover generated by the companies concerned, the operation does not fall under the</w:t>
        <w:br/>
        <w:t>jurisdiction of the European Union. However, the control thresholds mentioned in point I</w:t>
        <w:br/>
        <w:t>of Article L. 430-2 of the Commercial Code are exceeded. This operation is therefore subject</w:t>
        <w:br/>
        <w:t>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notified transaction under number 20-140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