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21-DCC-36 of March 5, 2021  </w:t>
        <w:br/>
        <w:t xml:space="preserve">regarding the exclusive control acquisition of the Cruiseline group by  </w:t>
        <w:br/>
        <w:t xml:space="preserve">Tikehau Capital  </w:t>
        <w:br/>
        <w:t xml:space="preserve">The Competition Authority,  </w:t>
        <w:br/>
        <w:t xml:space="preserve">Having regard to the complete notification file sent to the mergers department on February 18, 2021,  </w:t>
        <w:br/>
        <w:t xml:space="preserve">concerning the exclusive control acquisition of the Cruiseline group by Tikehau Capital,  </w:t>
        <w:br/>
        <w:t xml:space="preserve">formalized by a letter of commitment dated January 12,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Tikehau Capital,  </w:t>
        <w:br/>
        <w:t xml:space="preserve">the parent company of the Tikehau group, of the company Cruise and Travel and its subsidiaries which are active  </w:t>
        <w:br/>
        <w:t xml:space="preserve">in the market for travel agency services, and more specifically for package leisure travel. It constitutes a concentration operation within the meaning of Article L. 430-1 of the Commercial Code. Given the revenues generated by the companies concerned,  </w:t>
        <w:br/>
        <w:t xml:space="preserve">the operation does not fall under the jurisdiction of the European Union. On the other hand, the control thresholds mentioned in point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20-209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