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https://www.autoritedelaconcurrence.fr/fr/decision-de-controle-des-concentrations/relative-la-prise-de-controle-exclusif-du-groupe-5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21-DCC-68 of April 21, 2021  </w:t>
        <w:br/>
        <w:t xml:space="preserve">regarding the exclusive control acquisition of the Provalliance group by  </w:t>
        <w:br/>
        <w:t xml:space="preserve">the company Equity Core Holdings  </w:t>
        <w:br/>
        <w:t xml:space="preserve">The Competition Authority,  </w:t>
        <w:br/>
        <w:t xml:space="preserve">Having regard to the complete notification file submitted to the mergers department on April 6, 2021,  </w:t>
        <w:br/>
        <w:t xml:space="preserve">concerning the exclusive control acquisition of the Provalliance group by the company Equity Core Holdings,  </w:t>
        <w:br/>
        <w:t xml:space="preserve">formalized by a share transfer agreement dated March 18, 2021, and a draft shareholders' agreement dated February 24, 2021;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by the company Core Equity Holdings  </w:t>
        <w:br/>
        <w:t xml:space="preserve">of the company JCRT Investissements, the parent company of the Provalliance group, which is primarily  </w:t>
        <w:br/>
        <w:t xml:space="preserve">active in the field of hairdressing services and the distribution of hair products. It  </w:t>
        <w:br/>
        <w:t xml:space="preserve">constitutes a concentration operation within the meaning of Article L. 430-1 of the Commercial Code.  </w:t>
        <w:br/>
        <w:t xml:space="preserve">Given the turnover achieved by the concerned companies, the operation does not fall  </w:t>
        <w:br/>
        <w:t xml:space="preserve">under the jurisdiction of the European Union. On the other hand, the control thresholds mentioned  </w:t>
        <w:br/>
        <w:t xml:space="preserve">in point I of Article L. 430-2 of the Commercial Code are exceeded. This operation is  </w:t>
        <w:br/>
        <w:t xml:space="preserve">therefore subject to the provisions of Articles L. 430-3 and following of the Commercial Code relating to  </w:t>
        <w:br/>
        <w:t xml:space="preserve">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21-049 is authorized.  </w:t>
        <w:br/>
        <w:t xml:space="preserve">The Vice-President,  </w:t>
        <w:br/>
        <w:t xml:space="preserve">Irène Luc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