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https://www.autoritedelaconcurrence.fr/fr/decision-de-controle-des-concentrations/relative-la-prise-de-controle-exclusif-du-groupe-5asec-par</w:t>
      </w:r>
    </w:p>
    <w:p>
      <w:r>
        <w:t>Pages translated : 2</w:t>
      </w:r>
    </w:p>
    <w:p/>
    <w:p>
      <w:r>
        <w:rPr>
          <w:b/>
        </w:rPr>
        <w:t>[Pages 1–2]</w:t>
      </w:r>
    </w:p>
    <w:p>
      <w:r>
        <w:t xml:space="preserve">REPUBLIC OF FRANCE  </w:t>
        <w:br/>
        <w:t xml:space="preserve">Decision No. 17-DCC-146 of September 7, 2017  </w:t>
        <w:br/>
        <w:t xml:space="preserve">regarding the exclusive control acquisition of the 5àsec group by Bridgepoint  </w:t>
        <w:br/>
        <w:t>The Competition Authority,</w:t>
      </w:r>
    </w:p>
    <w:p>
      <w:r>
        <w:t>Having regard to the complete notification file submitted to the mergers department on August 18, 2017, concerning the exclusive control acquisition of the 5àsec group by Bridgepoint, formalized by a purchase agreement dated July 28, 2017;</w:t>
      </w:r>
    </w:p>
    <w:p>
      <w:r>
        <w:t>Having regard to Book IV of the Commercial Code relating to the freedom of prices and competition, and in particular its Articles L. 430-1 to L. 430-7;</w:t>
      </w:r>
    </w:p>
    <w:p>
      <w:r>
        <w:t xml:space="preserve">Adopts the following decision:  </w:t>
        <w:br/>
        <w:t xml:space="preserve">1. The notified transaction consists of the acquisition by Bridgepoint of exclusive control of the 5àsec group, which is active in the sector of dry cleaning, laundry services, and all types of textile maintenance. This transaction constitutes a concentration operation within the meaning of Article L. 430-1 of the Commercial Code. Given the turnover generated by the companies concerned, the transaction does not fall under the jurisdiction of the European Union. However, the retail trade control thresholds mentioned in point II of Article L. 430-2 of the Commercial Code are exceeded. Therefore, this transaction is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notified transaction under number 17-169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