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22-DCC-54 of April 25, 2022  </w:t>
        <w:br/>
        <w:t xml:space="preserve">regarding the exclusive control acquisition of the Océalliance group by  </w:t>
        <w:br/>
        <w:t xml:space="preserve">Ardian France  </w:t>
        <w:br/>
        <w:t xml:space="preserve">The Competition Authority,  </w:t>
        <w:br/>
        <w:t xml:space="preserve">Having regard to the complete notification file submitted to the mergers department on April 5, 2022,  </w:t>
        <w:br/>
        <w:t xml:space="preserve">concerning the exclusive control acquisition of the Océalliance group by Ardian France,  </w:t>
        <w:br/>
        <w:t xml:space="preserve">formalized by a transfer contract dated March 11,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Océalliance company and its  </w:t>
        <w:br/>
        <w:t xml:space="preserve">subsidiaries, active in the sectors of fish trading, wholesale and retail trade of seafood products, by the  </w:t>
        <w:br/>
        <w:t xml:space="preserve">company Ardian France, through its subsidiary ZF Invest.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22-056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