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22-DCC-152 of August 23, 2022  </w:t>
        <w:br/>
        <w:t xml:space="preserve">regarding the exclusive control acquisition of the Vitaprotech group by  </w:t>
        <w:br/>
        <w:t xml:space="preserve">Apax Partners  </w:t>
        <w:br/>
        <w:t xml:space="preserve">The Competition Authority,  </w:t>
        <w:br/>
        <w:t xml:space="preserve">Having regard to the complete notification file sent to the mergers department on August 5, 2022,  </w:t>
        <w:br/>
        <w:t xml:space="preserve">concerning the exclusive control acquisition of the Vitaprotech group by Apax Partners,  </w:t>
        <w:br/>
        <w:t xml:space="preserve">formalized by a unilateral purchase promise dated July 10,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Apax Partners of the  </w:t>
        <w:br/>
        <w:t xml:space="preserve">Vitaprotech group, active in the security sector.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22-187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