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23-DCC-132 of June 30, 2023  </w:t>
        <w:br/>
        <w:t xml:space="preserve">regarding the exclusive control acquisition of the Francheville group by the  </w:t>
        <w:br/>
        <w:t xml:space="preserve">Bordeaux Nord Aquitaine group  </w:t>
        <w:br/>
        <w:t xml:space="preserve">The Competition Authority,  </w:t>
        <w:br/>
        <w:t xml:space="preserve">Having regard to the complete notification file sent to the mergers department on June 15, 2023,  </w:t>
        <w:br/>
        <w:t xml:space="preserve">concerning the exclusive control acquisition of the Francheville group by the Bordeaux Nord  </w:t>
        <w:br/>
        <w:t xml:space="preserve">Aquitaine group, formalized by the exclusivity letter dated May 16,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Bordeaux Nord  </w:t>
        <w:br/>
        <w:t xml:space="preserve">Aquitaine group of the Francheville group, both primarily active in the markets for the supply of  </w:t>
        <w:br/>
        <w:t xml:space="preserve">diagnostics and care in healthcare facilities, follow-up and rehabilitation care, and accommodation for  </w:t>
        <w:br/>
        <w:t xml:space="preserve">the elderly. It constitutes a concentration operation within the meaning of Article L. 430-1 of the  </w:t>
        <w:br/>
        <w:t xml:space="preserve">Commercial Code. Given the revenues generated by the companies concerned, the operation does not fall  </w:t>
        <w:br/>
        <w:t xml:space="preserve">within the competence of the European Union. However, the control thresholds mentioned in point I of  </w:t>
        <w:br/>
        <w:t xml:space="preserve">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competition in the  </w:t>
        <w:br/>
        <w:t>concerned markets.</w:t>
      </w:r>
    </w:p>
    <w:p>
      <w:r>
        <w:t xml:space="preserve">DECIDES  </w:t>
        <w:br/>
        <w:t xml:space="preserve">Sole Article: The operation notified under number 23-146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