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https://www.autoritedelaconcurrence.fr/fr/decision-de-controle-des-concentrations/relative-la-prise-de-controle-exclusif-du-groupe-abylsen</w:t>
      </w:r>
    </w:p>
    <w:p>
      <w:r>
        <w:t>Pages translated : 5</w:t>
      </w:r>
    </w:p>
    <w:p/>
    <w:p>
      <w:r>
        <w:rPr>
          <w:b/>
        </w:rPr>
        <w:t>[Pages 1–3]</w:t>
      </w:r>
    </w:p>
    <w:p>
      <w:r>
        <w:t xml:space="preserve">FRENCH REPUBLIC  </w:t>
        <w:br/>
        <w:t xml:space="preserve">Decision No. 15-DCC-19 of February 27, 2015  </w:t>
        <w:br/>
        <w:t xml:space="preserve">regarding the exclusive control of the Abylsen group  </w:t>
        <w:br/>
        <w:t>by the Naxicap Partners group</w:t>
      </w:r>
    </w:p>
    <w:p>
      <w:r>
        <w:t xml:space="preserve">The Competition Authority,  </w:t>
        <w:br/>
        <w:t xml:space="preserve">Having regard to the notification file submitted in full to the merger service on January 28, 2015, regarding the exclusive control of the Abylsen group by Naxicap Partners, formalized by a share transfer agreement dated February 13, 2015;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The company Naxicap Partners (hereinafter "Naxicap") is 100% owned by Natixis Global Asset Management, which is itself 100% owned by Natixis, which is majority-owned by Banque Populaire and Caisse d’Epargne (hereinafter "BPCE"). Naxicap is a portfolio management company that supports capital development projects, capital reorganization, diversification of executives' assets, financing of transmission and creation, with interventions in equity. Its activity mainly focuses on small and medium-sized enterprises. Naxicap notably holds a controlling stake in the company MC2I Groupe (hereinafter "MC2I"), via the holding Concerto Finance, which is active in the information systems consulting sector.  </w:t>
        <w:br/>
        <w:t xml:space="preserve">2. Abylsen is a group of companies owned and managed by CG holding, a financial holding owned by Vespa Capital ([…] %), Michel Abecassis ([…] %), and management ([…] %). Abylsen is a specialized industrial engineering consulting group that provides engineering and technology consulting services. The Abylsen group is present in Switzerland, Belgium, Germany, and France.  </w:t>
        <w:br/>
        <w:t xml:space="preserve">3. Under the terms of a share transfer agreement dated February 13, 2015, Naxicap committed to having a newly created company (hereinafter "Newco") acquire 100% of the capital and voting rights of Abylsen. Upon completion of the transaction, Naxicap will hold directly and indirectly, via the company Thohr which it owns at […] %, […] % of Abylsen's capital. The remaining […] % will be held by Abylsen's management.  </w:t>
        <w:br/>
        <w:t xml:space="preserve">4. The draft shareholders' agreement of Newco provides that it will have a supervisory board which will decide on all strategic decisions. The following decisions will notably be subject to prior authorization of the board: the approval or modification of the annual budget and business plan, and the commitment of any investment expenditure, purchase of fixed assets or assets (including in the form of options) whose amount exceeds one hundred thousand euros for the fiscal year in question. The supervisory board will be composed of 5 members, three of whom will be appointed by Naxicap and one appointed by Thohr. Since decisions will be made by simple majority, Naxicap will have the majority within the supervisory board.  </w:t>
        <w:br/>
        <w:t xml:space="preserve">5. Insofar as it results in the exclusive control of the Abylsen group by BPCE, via Naxicap, the operation constitutes a concentration within the meaning of Article L. 430-1 of the Commercial Code.  </w:t>
        <w:br/>
        <w:t>6. The companies concerned have achieved a worldwide turnover excluding taxes of more than 150 million euros (BPCE: […] euros for the fiscal year ending December 31, 2013; Abylsen: […] euros for the fiscal year ending December 31, 2013). Each of these companies has achieved, in France, a turnover exceeding 50 million euros (BPCE: […] euros for the fiscal year ending December 31, 2013; Abylsen: […] euros for the fiscal year ending December 31, 2013). Given the turnover of the companies concerned, it does not fall under the jurisdiction of the European Union. However, the control thresholds mentioned in Article L. 430-2-I of the Commercial Code are exceeded. The present operation is therefore subject to the provisions of Articles L. 430-3 and following of the Commercial Code.</w:t>
      </w:r>
    </w:p>
    <w:p>
      <w:r>
        <w:t xml:space="preserve">II. Delimitation of the relevant markets  </w:t>
        <w:br/>
        <w:t xml:space="preserve">7. Abylsen is active in the markets for engineering services and technical studies. Furthermore, Naxicap, via MC2I, is active in the IT services markets, some segments of which have connections with engineering services and technical studies.  </w:t>
        <w:br/>
        <w:t xml:space="preserve">A. ENGINEERING AND TECHNICAL STUDIES  </w:t>
        <w:br/>
        <w:t xml:space="preserve">1. SERVICE MARKETS  </w:t>
        <w:br/>
        <w:t xml:space="preserve">8. Engineering and technical study services correspond to all the services provided during the life cycle of a product, at each stage of project management (R&amp;D, development, engineering and process, implementation, operation, and maintenance). These services are found in numerous fields of activity such as industry, energy, transport, environment, construction, and public services.  </w:t>
        <w:br/>
        <w:t xml:space="preserve">9. The competition authorities have considered several possible segmentations in the sector of engineering services and technical studies, without definitively resolving the issue. They have thus considered defining a market for technology consulting, a market for project management assistance, distinct from other engineering services and technical studies. They have also questioned the relevance of a segmentation of the engineering services market based on sectors of intervention. In this regard, the services offered respectively in the sectors of aeronautics, defense, telecommunications, energy, rail transport, transport, industry, banking, and insurance can be considered as several relevant markets.  </w:t>
        <w:br/>
        <w:t xml:space="preserve">10. There is no need to challenge these delimitations in this decision. In this case, Abylsen is active in the technology consulting market in the sectors of banking, insurance, automotive, aeronautics, aerospace, heavy industry, transport, energy, and pharmaceuticals.  </w:t>
        <w:br/>
        <w:t xml:space="preserve">2. GEOGRAPHICAL MARKETS  </w:t>
        <w:br/>
        <w:t xml:space="preserve">11. While practice has generally retained markets of national dimension, it has also considered that they could be of subnational dimension depending on the type of clientele and the missions concerned.  </w:t>
        <w:br/>
        <w:t xml:space="preserve">12. In this case, market operators offer a wide range of services, allowing them to operate through national networks in markets of varying sizes, just like their main competitors. Furthermore, their main clients are industrial groups of at least national dimension.  </w:t>
        <w:br/>
        <w:t xml:space="preserve">B. IT SERVICES  </w:t>
        <w:br/>
        <w:t xml:space="preserve">1. SERVICE MARKETS  </w:t>
        <w:br/>
        <w:t>13. The decision-making practice has examined the delimitation of the relevant markets in the IT services sector, while leaving the question open. The decision-making practice has thus</w:t>
      </w:r>
    </w:p>
    <w:p>
      <w:r>
        <w:rPr>
          <w:b/>
        </w:rPr>
        <w:t>[Pages 4–5]</w:t>
      </w:r>
    </w:p>
    <w:p>
      <w:r>
        <w:t>considered that seven functional categories of services could be distinguished within the IT services market: (i) global management services, (ii) business management services, (iii) software development and integration, (iv) consulting, (v) software maintenance and logistical support, (vi) hardware maintenance and logistical support, and (vii) education and training. However, it has not been excluded that these seven categories of services could be considered as belonging to a global IT services market insofar as clients generally seek a service integrating all the activities described above and there is a high degree of substitutability on the supply side.</w:t>
      </w:r>
    </w:p>
    <w:p>
      <w:r>
        <w:t>14. In this case, MC2I is active in the segments of global management services, business management services, and consulting services.</w:t>
      </w:r>
    </w:p>
    <w:p>
      <w:r>
        <w:t>15. Different alternative or complementary segmentations have also been considered according to: the type of clientele: SMEs or large accounts; the types of information and communication systems: (i) management application systems, which include IT services used to fulfill a horizontal function within companies or administrations, (ii) embedded industrial scientific technical application systems, (iii) generic application systems, (iv) IT infrastructure systems, and (v) communication infrastructure and enterprise network systems; the sector of activity, namely: (i) communications, (ii) education, (iii) energy and local networks, (iv) financial services, (v) the public sector, (vi) health, (vii) industry, (viii) commerce and distribution, (ix) services, and (x) transport.</w:t>
      </w:r>
    </w:p>
    <w:p>
      <w:r>
        <w:t>16. In this case, MC2I is active in the "large accounts" market segment. Regarding the types of information systems, MC2I is primarily active in the segments of management application systems, generic application systems, and IT infrastructure systems. Finally, MC2I is present in the following sectors: energy, financial services, the public sector, media, health, industry, distribution, services, and transport.</w:t>
      </w:r>
    </w:p>
    <w:p>
      <w:r>
        <w:t>2. GEOGRAPHICAL MARKETS</w:t>
      </w:r>
    </w:p>
    <w:p>
      <w:r>
        <w:t>17. The competition authorities have, on several occasions, held that the markets for IT services are of national dimension, notably due to the necessity for providers of these services to communicate regularly in the language of their clients and to maintain a relative proximity to them.</w:t>
      </w:r>
    </w:p>
    <w:p>
      <w:r>
        <w:t>18. There is no reason to call into question these delimitations in the context of this decision.</w:t>
      </w:r>
    </w:p>
    <w:p>
      <w:r>
        <w:t>III. Competitive Analysis</w:t>
      </w:r>
    </w:p>
    <w:p>
      <w:r>
        <w:t>19. None of the companies in which the funds managed by BPCE hold a controlling interest are present in the same sector or in a downstream or upstream sector to that of Abylsen. This results in no horizontal or vertical overlap. On the other hand, the IT services related to global management, business management, and consulting, in which MC2I is active, present connectivity links with the engineering services and technical studies activities of Abylsen.</w:t>
      </w:r>
    </w:p>
    <w:p>
      <w:r>
        <w:t>20. A concentration is likely to have conglomerate effects when the new entity extends or strengthens its presence in several markets whose connectivity may allow it to exploit a leverage effect. The company thus increases the sales of a product in one market by leveraging its strong market position in another product to which the first product is linked or grouped.</w:t>
      </w:r>
    </w:p>
    <w:p>
      <w:r>
        <w:t>21. However, in this case, in the overall IT services market, the parties estimated that their combined market shares would be below [0-5]% regardless of the segmentations retained. Similarly, in the engineering and technical studies markets, Abylsen has a market share of less than [0-5]% regardless of the relevant segmentations.</w:t>
      </w:r>
    </w:p>
    <w:p>
      <w:r>
        <w:t>22. Furthermore, the new entity will face several significant competitors present in both the IT services markets and the engineering and technical studies markets such as Altran and Alten.</w:t>
      </w:r>
    </w:p>
    <w:p>
      <w:r>
        <w:t>23. Given these elements, the present operation is not likely to harm competition through conglomerate effects.</w:t>
      </w:r>
    </w:p>
    <w:p>
      <w:r>
        <w:t>DECIDES</w:t>
      </w:r>
    </w:p>
    <w:p>
      <w:r>
        <w:t>Sole Article: The operation notified under number 15-010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