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https://www.autoritedelaconcurrence.fr/fr/decision-de-controle-des-concentrations/relative-la-prise-de-controle-exclusif-du-groupe-acecom-par</w:t>
      </w:r>
    </w:p>
    <w:p>
      <w:r>
        <w:t>Pages translated : 2</w:t>
      </w:r>
    </w:p>
    <w:p/>
    <w:p>
      <w:r>
        <w:rPr>
          <w:b/>
        </w:rPr>
        <w:t>[Pages 1–2]</w:t>
      </w:r>
    </w:p>
    <w:p>
      <w:r>
        <w:t xml:space="preserve">FRENCH REPUBLIC  </w:t>
        <w:br/>
        <w:t xml:space="preserve">Decision No. 20-DCC-142 of October 15, 2020  </w:t>
        <w:br/>
        <w:t>regarding the exclusive control acquisition of the Acecom group by the C’Pro group</w:t>
      </w:r>
    </w:p>
    <w:p>
      <w:r>
        <w:t>The Competition Authority,</w:t>
      </w:r>
    </w:p>
    <w:p>
      <w:r>
        <w:t xml:space="preserve">Having regard to the complete notification file submitted to the mergers department on September 14, 2020, concerning the exclusive control acquisition of the Acecom group by the C’Pro group, formalized by a share transfer deed dated May 22, 2018, and a contribution in kind agreement dated September 5, 2018;  </w:t>
        <w:br/>
        <w:t xml:space="preserve">Having regard to Book IV of the Commercial Code relating to freedom of prices and competition, and in particular its Articles L. 430-1 to L. 430-7;  </w:t>
        <w:br/>
        <w:t>Having regard to the additional elements provided by the notifying party during the investigation;</w:t>
      </w:r>
    </w:p>
    <w:p>
      <w:r>
        <w:t xml:space="preserve">Adopts the following decision:  </w:t>
        <w:br/>
        <w:t xml:space="preserve">1. The notified operation consists of the exclusive control acquisition by the C’Pro group of the Acecom group. The parties are active in the markets for the supply and distribution of IT products, the markets for IT services, and the markets for the financing of movable assets. The operation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20-135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