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https://www.autoritedelaconcurrence.fr/fr/decision-de-controle-des-concentrations/relative-la-prise-de-controle-exclusif-du-groupe-adenes-par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23-DCC-133 of July 3, 2023</w:t>
        <w:br/>
        <w:t>regarding the exclusive control acquisition of the Adenes group by the company</w:t>
        <w:br/>
        <w:t>Chequers Partners</w:t>
        <w:br/>
        <w:t>The Competition Authority,</w:t>
        <w:br/>
        <w:t>Having regard to the complete notification file sent to the mergers department on June 16, 2023,</w:t>
        <w:br/>
        <w:t>concerning the exclusive control acquisition of the Adenes group by the company Chequers Partners,</w:t>
        <w:br/>
        <w:t>formalized by the purchase agreement of June 1,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Chequers Partners</w:t>
        <w:br/>
        <w:t>of the Adenes group, active in the field of insurance expertise and associated services.</w:t>
        <w:br/>
        <w:t>It constitutes a concentration operation within the meaning of Article L. 430-1 of the Commercial Code. Given the turnover achieved by the concerned companies,</w:t>
        <w:br/>
        <w:t>the operation does not fall under the jurisdiction of the European Union. On the other hand, the control thresholds mentioned in point I of Article L. 430-2 of the Commercial Code are exceeded. The</w:t>
        <w:br/>
        <w:t>present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23-155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