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https://www.autoritedelaconcurrence.fr/fr/decision-de-controle-des-concentrations/relative-la-prise-de-controle-exclusif-du-groupe-adista-par</w:t>
      </w:r>
    </w:p>
    <w:p>
      <w:r>
        <w:t>Pages translated : 2</w:t>
      </w:r>
    </w:p>
    <w:p/>
    <w:p>
      <w:r>
        <w:rPr>
          <w:b/>
        </w:rPr>
        <w:t>[Pages 1–2]</w:t>
      </w:r>
    </w:p>
    <w:p>
      <w:r>
        <w:t xml:space="preserve">FRENCH REPUBLIC  </w:t>
        <w:br/>
        <w:t xml:space="preserve">Decision No. 16-DCC-107 of July 21, 2016  </w:t>
        <w:br/>
        <w:t xml:space="preserve">regarding the exclusive control acquisition of the Adista group by the company  </w:t>
        <w:br/>
        <w:t xml:space="preserve">Equistone Partners Europe SAS  </w:t>
        <w:br/>
        <w:t>The Competition Authority,</w:t>
      </w:r>
    </w:p>
    <w:p>
      <w:r>
        <w:t xml:space="preserve">Having regard to the complete notification file submitted to the mergers department on June 21, 2016,  </w:t>
        <w:br/>
        <w:t xml:space="preserve">concerning the exclusive control acquisition of the Adista group by the company Equistone Partners Europe  </w:t>
        <w:br/>
        <w:t>SAS, materialized by a purchase offer and a draft acquisition contract dated June 14, 2016;</w:t>
      </w:r>
    </w:p>
    <w:p>
      <w:r>
        <w:t xml:space="preserve">Having regard to Book IV of the Commercial Code relating to the freedom of prices and competition, and  </w:t>
        <w:br/>
        <w:t>notably its Articles L. 430-1 to L. 430-7;</w:t>
      </w:r>
    </w:p>
    <w:p>
      <w:r>
        <w:t xml:space="preserve">Adopts the following decision:  </w:t>
        <w:br/>
        <w:t xml:space="preserve">1. The notified operation consists of the exclusive control acquisition of the Adista group, active in the  </w:t>
        <w:br/>
        <w:t xml:space="preserve">telecommunication and remote computing services sector for professionals, by the investment fund management company Equistone Partners Europe SAS. It constitutes a concentration operation within the meaning of Article L. 430-1 of the Commercial Code. Given the turnover achieved by the companies concerned, the operation does not fall under the jurisdiction of the European Union. On the other hand, the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notified operation under number 16-115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