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https://www.autoritedelaconcurrence.fr/fr/decision-de-controle-des-concentrations/relative-la-prise-de-controle-exclusif-du-groupe-advachem</w:t>
      </w:r>
    </w:p>
    <w:p>
      <w:r>
        <w:t>Pages translated : 2</w:t>
      </w:r>
    </w:p>
    <w:p/>
    <w:p>
      <w:r>
        <w:rPr>
          <w:b/>
        </w:rPr>
        <w:t>[Pages 1–2]</w:t>
      </w:r>
    </w:p>
    <w:p>
      <w:r>
        <w:t xml:space="preserve">FRENCH REPUBLIC  </w:t>
        <w:br/>
        <w:t xml:space="preserve">Decision No. 23-DCC-38 of February 27, 2023  </w:t>
        <w:br/>
        <w:t xml:space="preserve">regarding the exclusive control acquisition of the Advachem group by the  </w:t>
        <w:br/>
        <w:t xml:space="preserve">Saviola group  </w:t>
        <w:br/>
        <w:t xml:space="preserve">The Competition Authority,  </w:t>
        <w:br/>
        <w:t xml:space="preserve">Having regard to the complete notification file sent to the mergers department on February 9, 2023,  </w:t>
        <w:br/>
        <w:t xml:space="preserve">concerning the acquisition of control of the Advachem group by the Saviola group, formalized by a  </w:t>
        <w:br/>
        <w:t xml:space="preserve">share transfer agreement dated October 27, 2022;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notified operation consists of the exclusive control acquisition by the Saviola group of the Advachem group, both active in the sector of manufacturing and marketing of chemical products and the manufacturing of fertilizers.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22-309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