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https://www.autoritedelaconcurrence.fr/fr/decision-de-controle-des-concentrations/relative-la-prise-de-controle-exclusif-du-groupe-aee-inova</w:t>
      </w:r>
    </w:p>
    <w:p>
      <w:r>
        <w:t>Pages translated : 6</w:t>
      </w:r>
    </w:p>
    <w:p/>
    <w:p>
      <w:r>
        <w:rPr>
          <w:b/>
        </w:rPr>
        <w:t>[Pages 1–3]</w:t>
      </w:r>
    </w:p>
    <w:p>
      <w:r>
        <w:t xml:space="preserve">FRENCH REPUBLIC  </w:t>
        <w:br/>
        <w:t xml:space="preserve">Decision No. 11-DCC-27 of February 11, 2011  </w:t>
        <w:br/>
        <w:t xml:space="preserve">regarding the exclusive control of the AE&amp;E Inova France group  </w:t>
        <w:br/>
        <w:t>by the Altawest group</w:t>
      </w:r>
    </w:p>
    <w:p>
      <w:r>
        <w:t xml:space="preserve">The Competition Authority,  </w:t>
        <w:br/>
        <w:t xml:space="preserve">Having regard to the notification file submitted in full to the merger service on January 10, 2011,  </w:t>
        <w:br/>
        <w:t xml:space="preserve">regarding the exclusive control of the AE&amp;E Inova France group by the Altawest group,  </w:t>
        <w:br/>
        <w:t xml:space="preserve">formalized by a share transfer agreement dated December 21, 2010, between the  </w:t>
        <w:br/>
        <w:t xml:space="preserve">company AE&amp;E Inova Holding AG and the company Altawest SAS;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Adopts the following decision:</w:t>
      </w:r>
    </w:p>
    <w:p>
      <w:r>
        <w:t xml:space="preserve">I. The companies concerned  </w:t>
        <w:br/>
        <w:t xml:space="preserve">1. Altawest SAS, head of the Altawest group, is a simplified joint-stock company under French law  </w:t>
        <w:br/>
        <w:t xml:space="preserve">whose capital is distributed among BNP-Paribas Développement ([…] %), IPO ([…] %), Philippe  </w:t>
        <w:br/>
        <w:t xml:space="preserve">Garelli ([…] %), and the company CPG Investissements ([…] %), the capital of the latter being  </w:t>
        <w:br/>
        <w:t xml:space="preserve">held at [&gt;50] % by Mr. Philippe Garelli. The minority shareholders do not have any  </w:t>
        <w:br/>
        <w:t xml:space="preserve">veto rights that would grant them decisive influence over the strategic decisions of the company,  </w:t>
        <w:br/>
        <w:t xml:space="preserve">thus Altawest SAS is exclusively controlled by him. The Altawest group’s main activities are  </w:t>
        <w:br/>
        <w:t xml:space="preserve">the construction of equipment (industrial boilers, combustion systems, high voltage electric rotating  </w:t>
        <w:br/>
        <w:t xml:space="preserve">machines, engines, alternators) and the provision of services (maintenance, renovation, repair) for a  </w:t>
        <w:br/>
        <w:t xml:space="preserve">clientele consisting of industrialists in the sectors of electricity production, oil and gas, chemicals,  </w:t>
        <w:br/>
        <w:t xml:space="preserve">water treatment, waste and effluent management, as well as other industries (wood, paper, metallurgy,  </w:t>
        <w:br/>
        <w:t>agri-food).</w:t>
      </w:r>
    </w:p>
    <w:p>
      <w:r>
        <w:t xml:space="preserve">2. AE&amp;E Inova France is a public limited company that holds 100% of the capital of the companies AE&amp;E  </w:t>
        <w:br/>
        <w:t xml:space="preserve">Maintenance France SAS, AE&amp;E Operations France SAS, and Mellergies SAS. AE&amp;E France  </w:t>
        <w:br/>
        <w:t xml:space="preserve">is controlled by AE&amp;E Group GmbH, a company under Austrian law at the head of the AE&amp;E group.  </w:t>
        <w:br/>
        <w:t xml:space="preserve">AE&amp;E Inova France and its subsidiaries are primarily active in the construction of turnkey projects  </w:t>
        <w:br/>
        <w:t xml:space="preserve">for energy production units from the incineration of household waste or biomass, as well as the  </w:t>
        <w:br/>
        <w:t>modernization and renovation of this type of plant.</w:t>
      </w:r>
    </w:p>
    <w:p>
      <w:r>
        <w:t xml:space="preserve">3. The present operation, formalized by a share transfer agreement dated December 21, 2010,  </w:t>
        <w:br/>
        <w:t xml:space="preserve">concerns the acquisition by the company Altawest SAS of all the shares of the company AE&amp;E Inova France.  </w:t>
        <w:br/>
        <w:t xml:space="preserve">As it results in the exclusive control by the Altawest group of the company AE&amp;E Inova France and its subsidiaries,  </w:t>
        <w:br/>
        <w:t>the notified operation constitutes a concentration within the meaning of Article L.430-1 of the Commercial Code.</w:t>
      </w:r>
    </w:p>
    <w:p>
      <w:r>
        <w:t xml:space="preserve">4. The companies concerned together achieve a total worldwide turnover of more than 150 million euros  </w:t>
        <w:br/>
        <w:t xml:space="preserve">(Altawest group: […] million euros for the fiscal year ending December 31, 2009; the four transferred companies: […] million euros for the same year).  </w:t>
        <w:br/>
        <w:t xml:space="preserve">At least two of these companies achieve a turnover in France exceeding 50 million euros  </w:t>
        <w:br/>
        <w:t xml:space="preserve">(Altawest group: […] million euros for the fiscal year ending December 31, 2009; transferred companies: […] million euros for the same year).  </w:t>
        <w:br/>
        <w:t xml:space="preserve">Given these turnover figures, the operation does not have a community dimension.  </w:t>
        <w:br/>
        <w:t xml:space="preserve">However, the control thresholds mentioned in I of Article L. 430-2 of the Commercial Code are exceeded.  </w:t>
        <w:br/>
        <w:t>This operation is therefore subject to the provisions of Articles L. 430-3 and following of the Commercial Code relating to economic concentration.</w:t>
      </w:r>
    </w:p>
    <w:p>
      <w:r>
        <w:t xml:space="preserve">II. Delimitation of relevant markets  </w:t>
        <w:br/>
        <w:t xml:space="preserve">A. PRODUCT AND SERVICE MARKETS  </w:t>
        <w:br/>
        <w:t xml:space="preserve">5. The parties to the operation are simultaneously active in the only sector of the construction, maintenance, and operation of thermal recovery installations,  </w:t>
        <w:br/>
        <w:t>from waste or biomass, for the production of electricity and heat.</w:t>
      </w:r>
    </w:p>
    <w:p>
      <w:r>
        <w:t xml:space="preserve">6. Specifically, a thermal recovery installation, that is to say a center that recovers heat from the combustion of household waste, biomass, or other fuels,  </w:t>
        <w:br/>
        <w:t xml:space="preserve">mainly consists of the following equipment:  </w:t>
        <w:br/>
        <w:t xml:space="preserve">- a feeding system: transportation and storage of the fuel (for example, reception, unloading, and preparation of household waste);  </w:t>
        <w:br/>
        <w:t xml:space="preserve">- a combustion unit including a boiler as well as a combustion grate or a fluidized bed depending on the chosen technology (in the case of a grate combustion installation,  </w:t>
        <w:br/>
        <w:t xml:space="preserve">household waste is incinerated on an inclined grate);  </w:t>
        <w:br/>
        <w:t xml:space="preserve">- a machine room intended notably to produce electricity (turbines, alternators);  </w:t>
        <w:br/>
        <w:t>- a flue gas and exhaust gas treatment system.</w:t>
      </w:r>
    </w:p>
    <w:p>
      <w:r>
        <w:t xml:space="preserve">7. European decision-making practice considers it relevant to segment the market for thermal recovery installations based on the fuel used,  </w:t>
        <w:br/>
        <w:t xml:space="preserve">notably distinguishing between household waste, biomass, or coal, and based on the combustion technology employed,  </w:t>
        <w:br/>
        <w:t xml:space="preserve">distinguishing between grate systems and fluidized bed systems. It thus considers that the supply of household waste incineration facilities using grate combustion technology constitutes a distinct market.  </w:t>
        <w:br/>
        <w:t xml:space="preserve">However, the practice has left open the question of whether it is necessary to distinguish between, on the one hand, the supply of complete turnkey incineration facilities or lines  </w:t>
        <w:br/>
        <w:t>and, on the other hand, the supply of individual components, such as the combustion unit. The practice has also considered a distinct product market for the manufacture of the pressure components of boilers.</w:t>
      </w:r>
    </w:p>
    <w:p>
      <w:r>
        <w:t xml:space="preserve">8. In the present case, the parties are simultaneously present in the only market for household waste incineration installations based on grate technology.  </w:t>
        <w:br/>
        <w:t>However, in this market, the Altawest group only offers boilers (without the combustion grates) while AE&amp;E Inova France only markets complete turnkey installations.</w:t>
      </w:r>
    </w:p>
    <w:p>
      <w:r>
        <w:t xml:space="preserve">9. The notifying party specifies that the respective offers of the AE&amp;E Inova France and Altawest groups address different demands.  </w:t>
        <w:br/>
        <w:t xml:space="preserve">Regarding the supply of complete installations by AE&amp;E Inova France, the demand mainly consists of local authorities or private operators acting as project owners on behalf of the latter  </w:t>
        <w:br/>
        <w:t xml:space="preserve">(for example, Véolia Propreté, Suez Environnement, E.ON Energy from Waste, and Séché Environnement) while the competing offer is provided by other suppliers of complete installations such as CNIM-Martin, Fisia-Babcock, Vinci Environnement, Keppel Seghers, Babcock&amp;WilcoxVolund, and Standardkessel.  </w:t>
        <w:br/>
        <w:t xml:space="preserve">Regarding the supply of boilers by the Altawest group, the demand mainly consists of suppliers of complete installations and the competing offer comes from boiler manufacturers, such as Stein Energie, Duro Dakovic, and Sefako.  </w:t>
        <w:br/>
        <w:t>Thus, the existence of two distinct product markets can be envisaged: a first upstream market where Altawest acts as a boiler supplier and a second downstream market corresponding to the supply of complete installations by AE&amp;E Inova France.</w:t>
      </w:r>
    </w:p>
    <w:p>
      <w:r>
        <w:t xml:space="preserve">10. Furthermore, the parties propose to define a distinct market for the maintenance, repair, and renovation of thermal installations, which would include both short-term contracts for  </w:t>
        <w:br/>
        <w:t>occasional repairs and long-term contracts for complete renovations. However, the relevance of the distinction between the supply of new installations on the one hand, and maintenance, repair, and renovation services on the other hand, does not impose itself given the maturity of the French market for the construction of new thermal recovery installations and the fact that the demand from the sector is mainly driven by renovations of installations.</w:t>
      </w:r>
    </w:p>
    <w:p>
      <w:r>
        <w:t>11. Finally, the parties have considered a final distinct product market corresponding to the operation of household waste incineration installations, in which only the AE&amp;E Inova France group is present.</w:t>
      </w:r>
    </w:p>
    <w:p>
      <w:r>
        <w:t xml:space="preserve">12. In any case, the exact delimitation of the relevant markets can be left open, insofar as, regardless of the hypotheses retained, the conclusions of the competitive analysis will remain unchanged.  </w:t>
        <w:br/>
        <w:t xml:space="preserve">1 Decision of the European Commission No. COMP/M.4647 AEE/Lentjes of December 5, 2007.  </w:t>
        <w:br/>
        <w:t>2 This company is also a subsidiary of the AE&amp;E group.</w:t>
      </w:r>
    </w:p>
    <w:p>
      <w:r>
        <w:rPr>
          <w:b/>
        </w:rPr>
        <w:t>[Pages 4–6]</w:t>
      </w:r>
    </w:p>
    <w:p>
      <w:r>
        <w:t>B. GEOGRAPHIC MARKETS</w:t>
      </w:r>
    </w:p>
    <w:p>
      <w:r>
        <w:t>13. European decision-making practice considers that the markets for complete installations or essential components of thermal recovery installations are of European dimension insofar as the tenders to which these markets are subject have an international dimension, regardless of whether the clients belong to the public or private sector, and where the largest suppliers are active almost throughout the entire European economic area.</w:t>
      </w:r>
    </w:p>
    <w:p>
      <w:r>
        <w:t>14. The parties agreeing to such a definition, there is no need to challenge this delimitation. This can also be extended to the market for the supply of boilers intended for thermal recovery installations, for the same reasons.</w:t>
      </w:r>
    </w:p>
    <w:p>
      <w:r>
        <w:t>15. Regarding the markets for maintenance/repair/renovation services and the operation of thermal recovery installations, the parties consider that they are at least of national dimension. The exact delimitation of the markets can nevertheless be left open, insofar as the conclusions of the competitive analysis will remain unchanged regardless of the assumptions retained.</w:t>
      </w:r>
    </w:p>
    <w:p>
      <w:r>
        <w:t>III. COMPETITIVE ANALYSIS</w:t>
      </w:r>
    </w:p>
    <w:p>
      <w:r>
        <w:t>16. The activities of the parties hardly overlap in any of the markets, except for the potential market for maintenance/repair/renovation services of thermal recovery installations. It is also necessary to examine the effects of the vertical integration of the new entity, since the operation will integrate Altawest's activities in the upstream market for the supply of boilers and AE&amp;E Inova France's activities in the downstream market for the supply of complete installations.</w:t>
      </w:r>
    </w:p>
    <w:p>
      <w:r>
        <w:t>A. ANALYSIS OF HORIZONTAL EFFECTS</w:t>
      </w:r>
    </w:p>
    <w:p>
      <w:r>
        <w:t>17. Altawest and AE&amp;E Inova France represent respectively [5-10]% and [5-10]% of the market for maintenance/repair/renovation services of thermal equipment installations in France, resulting in a combined market share of [10-20]%. Following the operation, the parties will continue to face competition from several groups, notably CNIM, one of the global leaders in the thermal recovery installations market (over [20-30]% of the French market), Alstom ([10-20]% of the market), Stein Energie ([5-10]% of the market).</w:t>
      </w:r>
    </w:p>
    <w:p>
      <w:r>
        <w:t>18. The operation is therefore not likely to harm competition in this market.</w:t>
      </w:r>
    </w:p>
    <w:p>
      <w:r>
        <w:t>B. ANALYSIS OF VERTICAL EFFECTS</w:t>
      </w:r>
    </w:p>
    <w:p>
      <w:r>
        <w:t>19. By taking control of AE&amp;E Inova France, the Altawest group will be present both upstream, in the supply of boilers, and downstream, in the supply of complete installations of household waste incineration centers using grate combustion technology, a market in which it was previously absent.</w:t>
      </w:r>
    </w:p>
    <w:p>
      <w:r>
        <w:t>20. A vertical concentration can restrict competition by making access to the markets in which the new entity will be active more difficult, or potentially by excluding competitors or penalizing them through increased costs. Two types of lock-in are clearly distinguished. In the first case, the integrated company refuses to sell an input to its downstream competitors or provides it to them at a high price, under unfavorable conditions, or at a degraded quality level (input market lock-in). In the second case, the downstream branch of the integrated company refuses to purchase or distribute the products of upstream manufacturers, thereby reducing their commercial outlets (customer access lock-in). The decision-making practice of competition authorities generally dismisses these lock-in risks when the market share of the company resulting from the operation in the relevant markets does not exceed 30%.</w:t>
      </w:r>
    </w:p>
    <w:p>
      <w:r>
        <w:t>21. In the downstream market for the supply of complete installations of household waste incineration centers, the European Commission estimated, when examining the acquisition of the Lentjes group by the AE&amp;E group in 2007, that the latter represented 50 to 70% of the European market. CNIM-Martin, with a market share of 20 to 30%, was then the main competitor of the parties.</w:t>
      </w:r>
    </w:p>
    <w:p>
      <w:r>
        <w:t>22. However, since the authorization of this operation, the AE&amp;E group has faced significant financial difficulties that led it to request, on November 24, 2010, the opening of insolvency proceedings under Austrian law. The impact of these difficulties on the competitive position of the AE&amp;E group and its subsidiaries has been supported by the market test, with several responses confirming that its market share is now significantly lower than that observed in 2007, particularly due to the loss of a large number of tenders over the past two years.</w:t>
      </w:r>
    </w:p>
    <w:p>
      <w:r>
        <w:t>23. In these circumstances, AE&amp;E Inova France and its three subsidiaries, which accounted for only a modest share of the total revenue of the international AE&amp;E group, estimate that they now achieve only about [5-10]% of the European market for the supply of complete installations of household waste incineration centers. The new entity will continue to face competition from the CNIM group (over [20-30]% of the European market), the Swiss group Von Roll Inova Holding AG ([5-10]% of the market), Fisia-Babcock ([10-20]%), Babcock&amp;Wilcox Volund ([5-10]%), Vinci Environnement ([0-5]%), Keppel-Seghers ([0-5]%).</w:t>
      </w:r>
    </w:p>
    <w:p>
      <w:r>
        <w:t>24. In the upstream market for the supply of boilers intended for household waste incineration installations using grate combustion technology, Altawest will achieve less than [10-20]% of the activity in Europe and faces several significant competitors, such as Duro-Dakovic (over [20-30]% of the market), Sefako (over [10-20]%), Stein Energie (less than [10-20]%).</w:t>
        <w:br/>
        <w:t xml:space="preserve">  </w:t>
        <w:br/>
        <w:t>25. Given the low market shares achieved respectively by the two parties to the operation, the risks of market lock-in can be dismissed.</w:t>
      </w:r>
    </w:p>
    <w:p>
      <w:r>
        <w:t>DECIDES</w:t>
      </w:r>
    </w:p>
    <w:p>
      <w:r>
        <w:t>Sole Article: The operation notified under number 11-0002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