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https://www.autoritedelaconcurrence.fr/fr/decision-de-controle-des-concentrations/relative-la-prise-de-controle-exclusif-du-groupe-afd-tech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22-DCC-09 of February 9, 2022  </w:t>
        <w:br/>
        <w:t xml:space="preserve">regarding the exclusive control acquisition of the AFD Tech group by the  </w:t>
        <w:br/>
        <w:t xml:space="preserve">Accenture group  </w:t>
        <w:br/>
        <w:t xml:space="preserve">The Competition Authority,  </w:t>
        <w:br/>
        <w:t xml:space="preserve">Having regard to the complete notification file sent to the mergers department on January 21, 2022  </w:t>
        <w:br/>
        <w:t xml:space="preserve">concerning the exclusive control acquisition of the AFD Tech group by the Accenture group and  </w:t>
        <w:br/>
        <w:t xml:space="preserve">materialized by a share transfer agreement dated January 11,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exclusive control acquisition by the company  </w:t>
        <w:br/>
        <w:t xml:space="preserve">Accenture Holding France SAS, a subsidiary of the Accenture group, of the companies AFD Technologie,  </w:t>
        <w:br/>
        <w:t xml:space="preserve">AFD Belgium, and AFD Network Solutions, which together constitute the AFD Tech group. The  </w:t>
        <w:br/>
        <w:t xml:space="preserve">parties are active in the information technology services and engineering services sector. The  </w:t>
        <w:br/>
        <w:t xml:space="preserve">transaction constitutes a concentration operation within the meaning of Article L. 430-1 of the Commercial  </w:t>
        <w:br/>
        <w:t xml:space="preserve">Code. Given the turnover generated by the companies concerned, the transaction does not fall under the  </w:t>
        <w:br/>
        <w:t xml:space="preserve">competence of the European Union. On the other hand, the control thresholds mentioned in I of Article  </w:t>
        <w:br/>
        <w:t xml:space="preserve">L. 430-2 of the Commercial Code are exceeded. This transaction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transaction is not likely to harm competition  </w:t>
        <w:br/>
        <w:t>in the relevant markets.</w:t>
      </w:r>
    </w:p>
    <w:p>
      <w:r>
        <w:t xml:space="preserve">DECIDES  </w:t>
        <w:br/>
        <w:t xml:space="preserve">Sole Article: The notified transaction under number 21-308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