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https://www.autoritedelaconcurrence.fr/fr/decision-de-controle-des-concentrations/relative-la-prise-de-controle-exclusif-du-groupe-agora-par</w:t>
      </w:r>
    </w:p>
    <w:p>
      <w:r>
        <w:t>Pages translated : 2</w:t>
      </w:r>
    </w:p>
    <w:p/>
    <w:p>
      <w:r>
        <w:rPr>
          <w:b/>
        </w:rPr>
        <w:t>[Pages 1–2]</w:t>
      </w:r>
    </w:p>
    <w:p>
      <w:r>
        <w:t xml:space="preserve">FRENCH REPUBLIC  </w:t>
        <w:br/>
        <w:t xml:space="preserve">Decision No. 22-DCC-47 of March 29, 2022  </w:t>
        <w:br/>
        <w:t xml:space="preserve">regarding the exclusive control acquisition of the Agora group by the company  </w:t>
        <w:br/>
        <w:t xml:space="preserve">Hivest Capital Partners  </w:t>
        <w:br/>
        <w:t xml:space="preserve">The Competition Authority,  </w:t>
        <w:br/>
        <w:t xml:space="preserve">Having regard to the complete notification file sent to the mergers department on March 10, 2022  </w:t>
        <w:br/>
        <w:t xml:space="preserve">concerning the exclusive control acquisition of the company Agora Technologies, the parent company of the Agora group, by the company Hivest Capital Partners and formalized by a purchase agreement dated February 7, 2022;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company Hivest Capital Partners of the Agora group, active in the sector of public lighting systems and urban furniture parts. It constitutes a concentration operation within the meaning of Article L. 430-1 of the Commercial Code. Given the turnover achieved by the companies concerned,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22-061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