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https://www.autoritedelaconcurrence.fr/fr/decision-de-controle-des-concentrations/relative-la-prise-de-controle-exclusif-du-groupe-akiem-par</w:t>
      </w:r>
    </w:p>
    <w:p>
      <w:r>
        <w:t>Pages translated : 14</w:t>
      </w:r>
    </w:p>
    <w:p/>
    <w:p>
      <w:r>
        <w:rPr>
          <w:b/>
        </w:rPr>
        <w:t>[Pages 1–3]</w:t>
      </w:r>
    </w:p>
    <w:p>
      <w:r>
        <w:t>FRENCH REPUBLIC</w:t>
        <w:br/>
        <w:t>Decision No. 22-DCC-226 of November 22, 2022</w:t>
        <w:br/>
        <w:t>regarding the exclusive control of the Akiem group by the Caisse</w:t>
        <w:br/>
        <w:t>de dépôt et placement du Québec</w:t>
        <w:br/>
        <w:t>The Competition Authority,</w:t>
        <w:br/>
        <w:t>Having regard to the notification file submitted in full to the concentrations service on</w:t>
        <w:br/>
        <w:t>October 18, 2022, regarding the exclusive control of Akiem group by the Caisse de dépôt et</w:t>
        <w:br/>
        <w:t>placement du Québec, formalized by the unilateral promise of sale of July 29, 2022;</w:t>
        <w:br/>
        <w:t>Having regard to Book IV of the Commercial Code relating to price and competition freedom, and</w:t>
        <w:br/>
        <w:t>notably its Articles L. 430-1 to L. 430-7;</w:t>
        <w:br/>
        <w:t>Having regard to the supplementary elements;</w:t>
        <w:br/>
        <w:t>Having regard to the other documents in the file;</w:t>
        <w:br/>
        <w:t>Adopts the following decision:</w:t>
      </w:r>
    </w:p>
    <w:p>
      <w:r>
        <w:t>SUMMARY</w:t>
        <w:br/>
        <w:t>I. THE COMPANIES INVOLVED AND THE TRANSACTION .............. 3</w:t>
        <w:br/>
        <w:t>II. DELIMITATION OF THE RELEVANT MARKETS ........................... 3</w:t>
        <w:br/>
        <w:t>A. MARKETS FOR THE LEASING OF FREIGHT WAGONS .................4</w:t>
        <w:br/>
        <w:t>1. PRODUCT AND SERVICE MARKETS ......................................................................4</w:t>
        <w:br/>
        <w:t>2. GEOGRAPHICAL MARKETS .....................................................................................5</w:t>
        <w:br/>
        <w:t>B. MARKETS FOR THE MAINTENANCE OF FREIGHT WAGONS ........5</w:t>
        <w:br/>
        <w:t>1. PRODUCT MARKETS ............................................................................................5</w:t>
        <w:br/>
        <w:t>2. GEOGRAPHICAL MARKETS .....................................................................................5</w:t>
        <w:br/>
        <w:t>C. MARKETS FOR LOCOMOTIVE LEASING .............................................6</w:t>
        <w:br/>
        <w:t>1. PRODUCT AND SERVICE MARKETS .................................................................6</w:t>
        <w:br/>
        <w:t>a) Operational or financial leasing ..................................................... 6</w:t>
        <w:br/>
        <w:t>b) Leasing of locomotives for the transport of goods and</w:t>
        <w:br/>
        <w:t>passengers .................................................................................................... 6</w:t>
        <w:br/>
        <w:t>c) Leasing of line and shunting locomotives ......................................... 7</w:t>
        <w:br/>
        <w:t>d) Leasing of electric and diesel locomotives ......................................... 7</w:t>
        <w:br/>
        <w:t>2. GEOGRAPHICAL MARKETS .....................................................................................7</w:t>
        <w:br/>
        <w:t>D. MARKETS FOR LOCOMOTIVE MAINTENANCE ..................................10</w:t>
        <w:br/>
        <w:t>1. PRODUCT AND SERVICE MARKETS ...............................................................10</w:t>
        <w:br/>
        <w:t>2. GEOGRAPHICAL MARKETS ...................................................................................10</w:t>
        <w:br/>
        <w:t>III. COMPETITIVE ANALYSIS .................................................... 11</w:t>
        <w:br/>
        <w:t>A. ANALYSIS OF VERTICAL EFFECTS ....................................................................11</w:t>
        <w:br/>
        <w:t>B. ANALYSIS OF CONGLOMERATE EFFECTS ......................................................12</w:t>
        <w:br/>
        <w:t>1. BETWEEN THE ACTIVITIES OF LEASING WAGONS AND LOCOMOTIVES ............12</w:t>
        <w:br/>
        <w:t>2. BETWEEN THE MAINTENANCE OF FREIGHT WAGONS AND</w:t>
        <w:br/>
        <w:t>LOCOMOTIVE MAINTENANCE .............................................................................12</w:t>
        <w:br/>
        <w:t>DECISION ..................................................................................................... 14</w:t>
        <w:br/>
        <w:t>2</w:t>
      </w:r>
    </w:p>
    <w:p>
      <w:r>
        <w:t>I. The companies involved and the transaction</w:t>
        <w:br/>
        <w:t>1. The Caisse de dépôt et placement du Québec (CDPQ) is a long-term institutional investor that manages the funds of its depositors, primarily consisting of public and parapublic pension and insurance plans in the province of Quebec, Canada.</w:t>
        <w:br/>
        <w:t>2. The CDPQ controls, notably jointly with the DWS group, the company Ermewa. The latter offers services for the rental of wagons and tank wagons as well as the manufacturing, maintenance, and repair of wagons.</w:t>
        <w:br/>
        <w:t>3. Akiem Group (hereinafter "Akiem") is a French company, currently jointly controlled by the companies Transport et logistique partenaires (TLP) and Eurotraction. It is active in the rental of locomotives and passenger trains to public and private railway operators. It also offers maintenance services as well as other services associated with locomotive leasing.</w:t>
        <w:br/>
        <w:t>4. The transaction consists of the indirect acquisition by the CDPQ of almost all the shares and voting rights of Akiem group1.</w:t>
        <w:br/>
        <w:t>5. As it results in the exclusive control of Akiem by the CDPQ, the notified transaction constitutes a concentration operation within the meaning of Article L. 430-1 of the Commercial Code.</w:t>
        <w:br/>
        <w:t>6. The companies involved together achieve a total worldwide turnover of more than 150 million euros (CDPQ: [≥ 150 million] million euros for the fiscal year ending December 31, 2021; Akiem: [≥ 150 million] euros for the fiscal year ending December 31, 2021). Each of these companies achieves, in France, a turnover exceeding 50 million euros (CDPQ: [≥ 50 million] euros for the fiscal year ending December 31, 2021; Akiem: [≥ 50 million] euros for the fiscal year ending December 31, 2021). Given these turnover figures, the transaction does not have a European dimension2. On the other hand, the control thresholds mentioned in I of Article L. 430-2 of the Commercial Code are exceeded. The present transaction is therefore subject to the provisions of Articles L. 430-3 and following of the Commercial Code, relating to economic concentration.</w:t>
        <w:br/>
        <w:t>II. Delimitation of the relevant markets</w:t>
        <w:br/>
        <w:t>7. Akiem offers leasing services as well as maintenance and servicing of locomotives, while Ermewa, a subsidiary of the acquirer, offers the same services concerning freight wagons3.</w:t>
        <w:br/>
        <w:t>1 [Confidential].</w:t>
        <w:br/>
        <w:t>2 [Confidential].</w:t>
        <w:br/>
        <w:t>3 Ermewa is also active in the sale of freight wagons in Europe. This part of its activity is not studied in this decision, due to the absence of links between this activity and those of the target.</w:t>
      </w:r>
    </w:p>
    <w:p>
      <w:r>
        <w:rPr>
          <w:b/>
        </w:rPr>
        <w:t>[Pages 4–6]</w:t>
      </w:r>
    </w:p>
    <w:p>
      <w:r>
        <w:t>8. Several decisions of the European Commission (hereinafter "the Commission") have examined the market for the leasing of rolling stock, which includes, in particular, freight wagons and locomotives. Subsequently, it has also focused on the specific markets for the leasing of freight wagons.</w:t>
      </w:r>
    </w:p>
    <w:p>
      <w:r>
        <w:t>9. The investigation of the present transaction shows that the relevant market to consider is not that of leasing all types of rolling stock, but rather that of leasing freight wagons, on the one hand, and leasing locomotives, on the other.</w:t>
      </w:r>
    </w:p>
    <w:p>
      <w:r>
        <w:t>10. Indeed, regarding supply, the activity of leasing locomotives is much more capital-intensive than that of leasing wagons. It also requires technical expertise related to the vehicle offered for lease as well as to the networks on which it will operate. It is thus rare for an actor to have both a locomotive leasing activity and a freight wagon leasing activity.</w:t>
      </w:r>
    </w:p>
    <w:p>
      <w:r>
        <w:t>11. Regarding demand, the choice of wagon is generally guided by the needs of the freight carrier or the transport agent (depending, for example, on the sector concerned; different wagons will be necessary for the transport of grain and steel), while the choice of locomotive depends on the railway transport operator responsible for hauling the wagons.</w:t>
      </w:r>
    </w:p>
    <w:p>
      <w:r>
        <w:t>12. Thus, the locomotive is leased by the carrier operating the train (or one of its service providers) while the wagon is generally leased by the company that will fill it (the shipper). The wagon can also be leased by the railway company depending, however, on the needs of the shipper client.</w:t>
      </w:r>
    </w:p>
    <w:p>
      <w:r>
        <w:t>13. This analysis is notably confirmed by the market test organized as part of the investigation. Indeed, a majority of respondents consider it relevant to distinguish between the activity of leasing locomotives and that of leasing wagons.</w:t>
      </w:r>
    </w:p>
    <w:p>
      <w:r>
        <w:t>A. MARKETS FOR FREIGHT WAGON LEASING</w:t>
        <w:br/>
        <w:t>1. PRODUCT AND SERVICE MARKETS</w:t>
        <w:br/>
        <w:t>14. The Commission has defined a market for the leasing of wagons that can be segmented based on (i) the type of wagon (for example, open, covered, flat, special) and (ii) the type of goods transported. Specifically regarding grain wagons, it has also considered an additional segmentation based on the type of unloading method. Finally, it has considered that the leasing of tank wagons could constitute a distinct market.</w:t>
      </w:r>
    </w:p>
    <w:p>
      <w:r>
        <w:t>15. In this case, the exact definition of the product market can be left open, as the conclusions of the competitive analysis remain unchanged, regardless of the segmentation chosen.</w:t>
      </w:r>
    </w:p>
    <w:p>
      <w:r>
        <w:t>16. In this case, Ermewa leases tank wagons as well as freight wagons of the types covered wagons, wagons for the transport of food and powder, flat wagons, open-top wagons and hopper wagons, and intermodal wagons.</w:t>
      </w:r>
    </w:p>
    <w:p>
      <w:r>
        <w:t>2. GEOGRAPHICAL MARKETS</w:t>
        <w:br/>
        <w:t>17. The Commission has considered that the market for the leasing of freight wagons is of European dimension.</w:t>
      </w:r>
    </w:p>
    <w:p>
      <w:r>
        <w:t>18. The responses to the market test confirm the relevance of such a dimension. The competitive analysis will thus be conducted at the European level regarding the leasing of wagons.</w:t>
      </w:r>
    </w:p>
    <w:p>
      <w:r>
        <w:t>B. MARKETS FOR FREIGHT WAGON MAINTENANCE</w:t>
        <w:br/>
        <w:t>1. PRODUCT MARKETS</w:t>
        <w:br/>
        <w:t>19. The Commission has defined a market for the maintenance of freight wagons by distinguishing three types of maintenance: light maintenance, overhaul maintenance, and renovation.</w:t>
      </w:r>
    </w:p>
    <w:p>
      <w:r>
        <w:t>20. There is no need to challenge this analysis in the context of the present decision. In this case, Ermewa offers all types of freight wagon maintenance services.</w:t>
      </w:r>
    </w:p>
    <w:p>
      <w:r>
        <w:t>2. GEOGRAPHICAL MARKETS</w:t>
        <w:br/>
        <w:t>21. Regarding the geographical dimension of the market for wagon maintenance, the Commission's decision-making practice has concluded that competition operates at a national level, or even sub-national level concerning light maintenance.</w:t>
      </w:r>
    </w:p>
    <w:p>
      <w:r>
        <w:t>22. In any case, the conclusions of the competitive analysis remain unchanged regardless of the delimitation chosen, and the exact definition of the geographical market can be left open.</w:t>
      </w:r>
    </w:p>
    <w:p>
      <w:r>
        <w:t>C. MARKETS FOR LOCOMOTIVE LEASING</w:t>
        <w:br/>
        <w:t>1. PRODUCT AND SERVICE MARKETS</w:t>
        <w:br/>
        <w:t>23. Decision-making practice has not defined a market for locomotive leasing. However, it has consistently defined the market for the supply of railway vehicles (locomotives and light rail vehicles) by distinguishing between long-distance trains, regional trains, and local trains, and has segmented the market according to railway transport technology into (i) high-speed trains (250 km/h), (ii) electric and diesel locomotives, (iii) electric and diesel multiple units for intercity transport, (iv) electric and diesel multiple units for regional transport, (v) passenger cars and freight wagons, (vi) trams and light rail vehicles, and (vii) metro vehicles.</w:t>
      </w:r>
    </w:p>
    <w:p>
      <w:r>
        <w:t>24. By analogy with the aforementioned practice, the notifying party considers that the market concerned by the present transaction is that of leasing electric and diesel locomotives. However, this question can be left open in this case, as the conclusions of the competitive analysis remain unchanged regardless of the segmentation chosen.</w:t>
      </w:r>
    </w:p>
    <w:p>
      <w:r>
        <w:t>25. In this case, Akiem offers electric and diesel locomotives for lease.</w:t>
      </w:r>
    </w:p>
    <w:p>
      <w:r>
        <w:t>a) Operational or financial leasing</w:t>
        <w:br/>
        <w:t>26. In the context of rolling stock, the Commission notes that there is a fundamental distinction from the demand perspective between direct ownership, financial leasing, and operational leasing of rolling stock. In the case of financial leasing, ownership of the asset and the associated risks are transferred to the lessee, while in the case of operational leasing, the risks remain at all times with the lessor.</w:t>
      </w:r>
    </w:p>
    <w:p>
      <w:r>
        <w:t>27. By analogy, this distinction will be applied in the context of the present decision to the leasing of locomotives. In this case, Akiem's activity is limited to the operational leasing of locomotives, and the competitive analysis will be limited to this activity.</w:t>
      </w:r>
    </w:p>
    <w:p>
      <w:r>
        <w:t>b) Leasing of locomotives for the transport of goods and passengers</w:t>
      </w:r>
    </w:p>
    <w:p>
      <w:r>
        <w:rPr>
          <w:b/>
        </w:rPr>
        <w:t>[Pages 7–9]</w:t>
      </w:r>
    </w:p>
    <w:p>
      <w:r>
        <w:t xml:space="preserve">28. The Commission considered a segmentation between the leasing of rolling stock for passengers and the leasing of rolling stock for the transport of goods15.  </w:t>
        <w:br/>
        <w:t xml:space="preserve">29. By analogy, this distinction will be applied in the context of the present decision to the leasing of locomotives. In this case, Akiem leases locomotives intended for passenger transport and locomotives intended for freight transport.  </w:t>
        <w:br/>
        <w:t xml:space="preserve">c) Leasing of line and shunting locomotives  </w:t>
        <w:br/>
        <w:t xml:space="preserve">30. The distinction between line locomotives and shunting locomotives was considered in the upstream market for the production of locomotives. The Commission found that the manufacturing of line locomotives should be distinguished from the manufacturing of shunting locomotives, taking into account certain technical differences between these two types of locomotives (speed, track safety devices)16.  </w:t>
        <w:br/>
        <w:t xml:space="preserve">31. By analogy, this distinction will be applied in the context of the present decision to the leasing of locomotives. In this case, Akiem leases line locomotives and shunting locomotives.  </w:t>
        <w:br/>
        <w:t xml:space="preserve">d) Leasing of electric and diesel locomotives  </w:t>
        <w:br/>
        <w:t xml:space="preserve">32. The Commission found that the manufacturing of electric locomotives must be distinguished from the manufacturing of diesel locomotives17.  </w:t>
        <w:br/>
        <w:t xml:space="preserve">33. By analogy, this distinction will be applied in the context of the present decision to the leasing of locomotives. In this case, Akiem leases electric locomotives and diesel locomotives.  </w:t>
        <w:br/>
        <w:t xml:space="preserve">2. GEOGRAPHICAL MARKETS  </w:t>
        <w:br/>
        <w:t xml:space="preserve">34. Neither the Competition Authority nor the European Commission has had to examine the markets for the leasing of rolling stock in continental Europe. Previous decisions related to the case of the United Kingdom18.  </w:t>
        <w:br/>
        <w:t xml:space="preserve">35. The Commission had then considered that the market for the leasing of rolling stock for passengers was of national dimension, for reasons very specific to the United Kingdom, notably due to technical restrictions concerning rolling stock.  </w:t>
        <w:br/>
        <w:t xml:space="preserve">36. While the technical incompatibilities existing between the United Kingdom and continental Europe are substantial, the technical differences and matters of certification between the various countries of continental Europe are more limited, such that it is possible to conceive geographical markets whose scope exceeds that of a single country in continental Europe15. The Commission thus retained a European dimension for the market for the leasing of freight wagons except for grain wagons19.  </w:t>
        <w:br/>
        <w:t xml:space="preserve">37. In its decision-making practice, the Bundeskartellamt has found that the geographical market for the operational leasing of locomotives corresponds to continental Europe, while the United Kingdom, Spain, and Portugal are considered distinct markets due to, among other reasons, various technical reasons (track gauge, tunnel width)20.  </w:t>
        <w:br/>
        <w:t xml:space="preserve">38. The main technical obstacles in Europe are due to the following differences:  </w:t>
        <w:br/>
        <w:t xml:space="preserve">- differences in track gauge: Spain, Portugal, former members of the Soviet Union (notably the Baltic countries), Ireland, and Finland have a specific track gauge.  </w:t>
        <w:br/>
        <w:t xml:space="preserve">[Original confidential map]  </w:t>
        <w:br/>
        <w:t xml:space="preserve">Source: [Confidential].  </w:t>
        <w:br/>
        <w:t xml:space="preserve">19 Commission Decision M.5579 cited above.  </w:t>
        <w:br/>
        <w:t xml:space="preserve">20 Bundeskartellamt, Acquisition of Siemens Dispolok GmbH by Mitsui &amp; CO. Ltd. (2006) and Acquisition of a majority of shares in Angel Trains by Babcock &amp; Brown European Infrastructure Fund 2008.  </w:t>
        <w:br/>
        <w:t xml:space="preserve">8  </w:t>
        <w:br/>
        <w:t xml:space="preserve">- differences in voltage systems. However, locomotives are equipped with multiple voltage systems to be able to operate in territories where different voltages exist. This theoretical difficulty therefore has little practical impact and does not constitute a technical constraint that would prevent a locomotive rental actor from being active in several countries of continental Europe.  </w:t>
        <w:br/>
        <w:t xml:space="preserve">[Original confidential map]  </w:t>
        <w:br/>
        <w:t xml:space="preserve">Source: [Confidential].  </w:t>
        <w:br/>
        <w:t xml:space="preserve">- differences in signaling systems. Indeed, each country has its own train protection system. However, these signaling differences do not prevent the circulation of the same locomotive in several countries. Indeed, manufacturers have integrated these constraints into their specifications and produce locomotives compatible with different signaling systems. Thus, the locomotives offered for lease by Akiem can be certified in several different countries. It should also be noted that the European Union has initiated a program to replace existing signaling in its various member countries, aimed at harmonizing the signaling of major railway lines by 2030.  </w:t>
        <w:br/>
        <w:t xml:space="preserve">39. Thus, based on the above, the markets for the leasing of locomotives are of European dimension, including Switzerland and the countries of Eastern Europe except for the former members of the Soviet Union, as well as notably Spain, Portugal, the United Kingdom, Ireland, and Finland.  </w:t>
        <w:br/>
        <w:t>9</w:t>
      </w:r>
    </w:p>
    <w:p>
      <w:r>
        <w:rPr>
          <w:b/>
        </w:rPr>
        <w:t>[Pages 10–12]</w:t>
      </w:r>
    </w:p>
    <w:p>
      <w:r>
        <w:t>sur sa position sur le marché de la maintenance de wagons de marchandises pour accroître sa part de marché sur le marché de la maintenance de locomotives serait peu probable. D’autre part, la concurrence sur le marché de la maintenance de locomotives est suffisante pour garantir que les clients disposent d'alternatives viables, ce qui limite les risques d'effets congloméraux restrictifs.</w:t>
      </w:r>
    </w:p>
    <w:p>
      <w:r>
        <w:t>62. En conclusion, l'analyse des effets congloméraux ne révèle pas de risques significatifs d'atteinte à la concurrence résultant de l'opération, tant entre les marchés de la location de wagons et de locomotives qu'entre les marchés de la maintenance de wagons de marchandises et de locomotives.</w:t>
      </w:r>
    </w:p>
    <w:p>
      <w:r>
        <w:rPr>
          <w:b/>
        </w:rPr>
        <w:t>[Pages 13–14]</w:t>
      </w:r>
    </w:p>
    <w:p>
      <w:r>
        <w:t>on this activity to develop its wagon maintenance business would not have a significant effect on the markets concerned. On the other hand, Ermewa's market share is slightly above 30% in the French market for freight wagon maintenance. There are other players in this market such as VTC, SNCF, Lormafer, or Sogeefer, so Ermewa does not appear to be an essential player in this market. A strategy for the new entity to rely on this activity to develop its locomotive maintenance business would therefore not have a significant effect on the markets concerned.</w:t>
        <w:br/>
        <w:t>62. Furthermore, contracts for locomotive and wagon maintenance are negotiated and concluded separately and constitute distinct lots during tenders and contract awards. It would therefore be complicated for the new entity to implement a coupling strategy between these maintenance services.</w:t>
      </w:r>
    </w:p>
    <w:p>
      <w:r>
        <w:t>DECISION</w:t>
        <w:br/>
        <w:t>Sole Article: The operation notified under number 22-216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