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https://www.autoritedelaconcurrence.fr/fr/decision-de-controle-des-concentrations/relative-la-prise-de-controle-exclusif-du-groupe-aksis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24-DCC-258 of December 4, 2024  </w:t>
        <w:br/>
        <w:t xml:space="preserve">regarding the exclusive control acquisition of the Aksis Moovéus group by the  </w:t>
        <w:br/>
        <w:t>Proman group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November 19, 2024, concerning the exclusive control acquisition of the company Groupe Aksis Moovéus  </w:t>
        <w:br/>
        <w:t xml:space="preserve">SAS by the company Proman Expansion SAS formalized by a letter of intent signed on  </w:t>
        <w:br/>
        <w:t>October 17,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the company Proman Expansion SAS of 36%  </w:t>
        <w:br/>
        <w:t xml:space="preserve">of the shares of the company Groupe Aksis Moovéus SAS, increasing its participation to 51%. The company  </w:t>
        <w:br/>
        <w:t xml:space="preserve">Groupe Aksis Moovéus heads the Aksis Moovéus group, which is primarily active  </w:t>
        <w:br/>
        <w:t xml:space="preserve">in the field of supporting and placing job seekers within the framework  </w:t>
        <w:br/>
        <w:t xml:space="preserve">of public contracts concluded with France Travail. The operation constitutes a concentration within  </w:t>
        <w:br/>
        <w:t xml:space="preserve">the meaning of Article L. 430-1 of the Commercial Code. Given the turnover generated  </w:t>
        <w:br/>
        <w:t xml:space="preserve">by the companies concerned, the operation does not fall under the jurisdiction of the European  </w:t>
        <w:br/>
        <w:t xml:space="preserve">Union. However, the control thresholds mentioned in I of Article L. 430-2 of the Commercial  </w:t>
        <w:br/>
        <w:t xml:space="preserve">Code are exceeded. This operation is therefore subject to the provisions of Articles  </w:t>
        <w:br/>
        <w:t>L. 430-3 and following of the Commercial Code relating to 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24-298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