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https://www.autoritedelaconcurrence.fr/fr/decision-de-controle-des-concentrations/relative-la-prise-de-controle-exclusif-du-groupe-altema-par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22-DCC-200 of October 11, 2022  </w:t>
        <w:br/>
        <w:t xml:space="preserve">regarding the exclusive control acquisition of the Altema group by the company  </w:t>
        <w:br/>
        <w:t xml:space="preserve">Sigefi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September 16, 2022, concerning the exclusive control acquisition of the Altema group by the company Sigefi,  </w:t>
        <w:br/>
        <w:t xml:space="preserve">formalized by a purchase promise dated July 29,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Sigefi of the company  </w:t>
        <w:br/>
        <w:t xml:space="preserve">Financière du Ried, the parent company of the Altema group, active in the manufacturing and  </w:t>
        <w:br/>
        <w:t xml:space="preserve">distribution sector of rainwater drainage products, roofing, and flue systems.  </w:t>
        <w:br/>
        <w:t xml:space="preserve">It constitutes a concentration operation within the meaning of Article L. 430-1 of the Commercial Code.  </w:t>
        <w:br/>
        <w:t xml:space="preserve">Given the turnover achieved by the companies concerned, the operation does not fall under the jurisdiction of the European Union.  </w:t>
        <w:br/>
        <w:t xml:space="preserve">On the other hand, the control thresholds mentioned in I of Article L. 430-2 of the Commercial Code are exceeded.  </w:t>
        <w:br/>
        <w:t xml:space="preserve">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22-222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