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https://www.autoritedelaconcurrence.fr/fr/decision-de-controle-des-concentrations/relative-la-prise-de-controle-exclusif-du-groupe-alvest-par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25-DCC-61 of March 17, 2025  </w:t>
        <w:br/>
        <w:t xml:space="preserve">regarding the exclusive control acquisition of the Alvest group by  </w:t>
        <w:br/>
        <w:t xml:space="preserve">PAI Partners  </w:t>
        <w:br/>
        <w:t xml:space="preserve">The Competition Authority,  </w:t>
        <w:br/>
        <w:t xml:space="preserve">Having regard to the complete notification file submitted to the mergers department on February 21, 2025,  </w:t>
        <w:br/>
        <w:t xml:space="preserve">concerning the exclusive control acquisition of the Alvest group by PAI Partners, formalized by a  </w:t>
        <w:br/>
        <w:t xml:space="preserve">sale option agreement concluded on January 30,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PAI Partners, via the PAI Fund VIII, of a  </w:t>
        <w:br/>
        <w:t xml:space="preserve">majority stake ([confidential] %) in an investment vehicle, [confidential],  </w:t>
        <w:br/>
        <w:t xml:space="preserve">which will indirectly hold [confidential] % of the shares of a holding company which will itself control,  </w:t>
        <w:br/>
        <w:t xml:space="preserve">indirectly, 100 % of the capital of Alvest Holding which, together with its subsidiaries, forms the  </w:t>
        <w:br/>
        <w:t xml:space="preserve">Alvest group. The Alvest group is active in the airport ground support equipment sector and provides  </w:t>
        <w:br/>
        <w:t xml:space="preserve">spare parts and related services. This operation constitutes a concentration within the meaning of  </w:t>
        <w:br/>
        <w:t xml:space="preserve">Article L. 430-1 of the Commercial Code. Given the revenues generated by the companies involved,  </w:t>
        <w:br/>
        <w:t xml:space="preserve">the operation does not fall under the jurisdiction of the European Union. On the other hand, the  </w:t>
        <w:br/>
        <w:t xml:space="preserve">control thresholds mentioned in I of Article L. 430-2 of the Commercial Code are exceeded. This  </w:t>
        <w:br/>
        <w:t xml:space="preserve">operation is therefore subject to the provisions of Articles L. 430-3 and following of the Commercial  </w:t>
        <w:br/>
        <w:t xml:space="preserve">Code relating to economic concentration.  </w:t>
        <w:br/>
        <w:t xml:space="preserve">2. In light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25-050 is authorized.  </w:t>
        <w:br/>
        <w:t xml:space="preserve">The Vice-President,  </w:t>
        <w:br/>
        <w:t xml:space="preserve">Thibaud Vergé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