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https://www.autoritedelaconcurrence.fr/fr/decision-de-controle-des-concentrations/relative-la-prise-de-controle-exclusif-du-groupe-amplitude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20-DCC-131 of September 23, 2020  </w:t>
        <w:br/>
        <w:t xml:space="preserve">regarding the exclusive control acquisition of the Amplitude Surgical group  </w:t>
        <w:br/>
        <w:t xml:space="preserve">by the company PAI Partners  </w:t>
        <w:br/>
        <w:t xml:space="preserve">The Competition Authority,  </w:t>
        <w:br/>
        <w:t xml:space="preserve">Having regard to the complete notification file sent to the mergers department on August 21, 2020,  </w:t>
        <w:br/>
        <w:t xml:space="preserve">regarding the exclusive control acquisition of the Amplitude Surgical group by the company PAI Partners,  </w:t>
        <w:br/>
        <w:t xml:space="preserve">formalized by a purchase promise dated July 30,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PAI Partners of the  </w:t>
        <w:br/>
        <w:t xml:space="preserve">company Amplitude Surgical, the head company of the eponymous group active in the sector of  </w:t>
        <w:br/>
        <w:t xml:space="preserve">the design and marketing of products intended for orthopedic surgery of the lower limb joints. It constitutes a concentration operation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point I of Article L. 430-2 of the Commercial Code  </w:t>
        <w:br/>
        <w:t xml:space="preserve">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concerned markets.</w:t>
      </w:r>
    </w:p>
    <w:p>
      <w:r>
        <w:t xml:space="preserve">DECIDES  </w:t>
        <w:br/>
        <w:t xml:space="preserve">Sole Article: The operation notified under number 20-165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