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https://www.autoritedelaconcurrence.fr/fr/decision-de-controle-des-concentrations/relative-la-prise-de-controle-exclusif-du-groupe-ams-par-le</w:t>
      </w:r>
    </w:p>
    <w:p>
      <w:r>
        <w:t>Pages translated : 5</w:t>
      </w:r>
    </w:p>
    <w:p/>
    <w:p>
      <w:r>
        <w:rPr>
          <w:b/>
        </w:rPr>
        <w:t>[Pages 1–3]</w:t>
      </w:r>
    </w:p>
    <w:p>
      <w:r>
        <w:t xml:space="preserve">FRENCH REPUBLIC  </w:t>
        <w:br/>
        <w:t xml:space="preserve">Decision No. 15-DCC-182 of December 30, 2015  </w:t>
        <w:br/>
        <w:t xml:space="preserve">regarding the exclusive control of the AMS group  </w:t>
        <w:br/>
        <w:t>by the HLD group</w:t>
      </w:r>
    </w:p>
    <w:p>
      <w:r>
        <w:t xml:space="preserve">The Competition Authority,  </w:t>
        <w:br/>
        <w:t xml:space="preserve">Having regard to the notification file submitted in full to the concentrations service on November 24, 2015, regarding the exclusive control of the AMS group by the company HLD, formalized by a transfer agreement dated November 13, 2015, as well as a shareholders' agreement dated August 6,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HLD Europe (hereinafter "HLD") is a limited partnership company under Luxembourg law controlled by its general partner, HLD Associés Europe, acting as its management company. The main shareholders of HLD Associés Europe are [confidential], controlled by Jean-Philippe Hecketsweiler, as well as [confidential] and [confidential], controlled by Jean-Bernard Lafonta. HLD is an investment company dedicated to acquiring stakes in companies primarily headquartered or, failing that, having the essential part of their activity in Europe. It notably controls the IP Santé group, active in the home healthcare services sector (respiratory assistance, nutrition, infusion, insulin therapy, home care) in France.  </w:t>
        <w:br/>
        <w:t xml:space="preserve">2. Finapsad is the holding company of the AMS group, whose subsidiaries AMS, Asdia, and Alternative provide home healthcare services in France, particularly respiratory assistance, infusion, and nutrition as well as insulin therapy.  </w:t>
        <w:br/>
        <w:t xml:space="preserve">3. The notified operation, formalized by a transfer agreement dated November 13, 2015, consists of HLD acquiring 48.8% of the capital of Finapsad [confidential]. The remainder of the capital will be held by Sagesse Retraite Santé (hereinafter "SRS")1 ([…] %), UI Gestion2 ([…] %), LBO Partners ([…] %), and the executives ([…] %). Under the terms of the shareholders' agreement, the board of directors will be composed of eight members, [confidential]. Decisions of the board of directors must be made by a simple majority of its members, but in the event of a tie, the vote of one of the HLD members will be decisive. HLD will therefore be solely able to have certain strategic decisions adopted by the board of directors, particularly those relating to the annual budget, the business plan, and investments. As it results in the acquisition of exclusive control of AMS by HLD, the notified operation is a concentration within the meaning of Article L. 430-1 of the Commercial Code.  </w:t>
        <w:br/>
        <w:t>4. The concerned companies together generate a total worldwide turnover of more than 150 million euros (HLD: […] euros for the fiscal year ending December 31, 2014; AMS3: […] euros for the same fiscal year). They generate in France a turnover exceeding 50 million euros (HLD: […] euros for the same fiscal year; AMS: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HLD, via the IP Santé group, and the AMS group are both active in the home healthcare services sector.  </w:t>
        <w:br/>
        <w:t xml:space="preserve">A. THE MARKETS FOR THE PROVISION OF HOME HEALTHCARE SERVICES  </w:t>
        <w:br/>
        <w:t xml:space="preserve">6. Home healthcare services consist of providing services associated with a therapy, prescribed to a patient by liberal or hospital practitioners4. This activity includes the provision of equipment (medical devices such as infusion or insulin pumps, medications such as medical oxygen in bottles, various medical materials and equipment such as masks, catheters, or hospital beds) necessary for the prescribed therapy. Home healthcare service providers therefore supply patients with the devices, medications, and medical materials necessary for the treatment prescribed to them, install them at the patients' homes, assist them in learning how to use them and in their use during treatment, ensure the maintenance of the installed equipment, and inform the medical staff of the proper conduct of the treatments. Home healthcare services aim to manage chronic conditions (respiratory diseases, diabetes, Parkinson's disease), to implement specific outpatient treatments, notably through infusion services (for example, in the context of chemotherapy or antibiotic therapy) or nutrition, or to enable the home care of individuals in situations of dependency or disability.  </w:t>
        <w:br/>
        <w:t xml:space="preserve">7. The decision-making practice5 has distinguished home healthcare services from healthcare services administered in hospitals. Indeed, the equipment and resources used within a hospital are different from those used at home. Similarly, hospital services require little patient counseling for the use of medical equipment and devices, whereas this constitutes one of the main services provided in the context of home treatment.  </w:t>
        <w:br/>
        <w:t xml:space="preserve">8. Within home healthcare services, a segmentation between respiratory health services and non-respiratory services has been considered, notably because respiratory treatments require the provision of more significant services, more time spent with the patient, broader medical knowledge than for the provision of non-respiratory services, as well as equipment using different technologies from those used for non-respiratory healthcare services.  </w:t>
        <w:br/>
        <w:t xml:space="preserve">9. Within the provision of home respiratory healthcare services, the decision-making practice6 has considered a market segmentation between oxygen therapy services and other respiratory healthcare services (treatment of sleep apnea, ventilation, aerosol therapy) provided at home on the grounds that this process is intended to treat the most severe respiratory insufficiencies. Furthermore, oxygen is legally considered a medication that can only be provided to patients under specific provisions of the Public Health Code7 and whose dispensing is subject to compliance with the decree of November 17, 2000, relating to good practices for the home dispensing of medical oxygen (hereinafter "BPDO"), which notably imposes that medical oxygen be dispensed under the responsibility of a salaried pharmacist. The decision-making practice8 has also considered distinguishing home healthcare services of oxygen therapy based on whether the services involve the use of (i) liquid oxygen, (ii) gaseous oxygen, or (iii) oxygen concentrators. Indeed, the first two types of services involve the provision of oxygen, whereas the third only includes the provision of a concentrator.  </w:t>
        <w:br/>
        <w:t xml:space="preserve">10. Within the provision of non-respiratory home healthcare services, the decision-making practice has considered distinguishing infusion services, enteral and parenteral nutrition services, and insulin therapy services by pump, as these services are subject to a distinction in the nomenclature listed in the LPPR and to distinct coverage conditions set by separate ministerial decrees. Furthermore, they respond to distinct medical needs.  </w:t>
        <w:br/>
        <w:t xml:space="preserve">5 See in particular the decision of the European Commission No. COMP/M.6504 - Linde/Air Products homecare, of April 18, 2012, as well as the decision of the Competition Authority No. 12-DCC-123 of August 27, 2012, regarding the exclusive control of the French activities of the LVL Médical group by Air Liquide Santé International.  </w:t>
        <w:br/>
        <w:t xml:space="preserve">6 See the aforementioned decisions.  </w:t>
        <w:br/>
        <w:t xml:space="preserve">7 The provisions of Article L. 4211-5 of the Public Health Code authorize home healthcare service providers to dispense medical gases to patients at home, by way of derogation from the provisions of Article L. 4211-1 which provides for a principle of dispensing medications by a pharmacist.  </w:t>
        <w:br/>
        <w:t>8 See the aforementioned decisions.</w:t>
      </w:r>
    </w:p>
    <w:p>
      <w:r>
        <w:rPr>
          <w:b/>
        </w:rPr>
        <w:t>[Pages 4–5]</w:t>
      </w:r>
    </w:p>
    <w:p>
      <w:r>
        <w:t>specific pathologies requiring treatments prescribed by doctors practicing different specialties9.</w:t>
      </w:r>
    </w:p>
    <w:p>
      <w:r>
        <w:t>11. In this case, the parties to the transaction are simultaneously active in the segments of oxygen therapy with liquid oxygen and oxygen concentrator, ventilation, sleep apnea, insulin therapy by pump, nutrition, and infusion. The exact definition of the markets for the provision of home healthcare services can, however, be left open insofar as, regardless of the segmentation chosen, the conclusions of the competitive analysis will remain unchanged.</w:t>
      </w:r>
    </w:p>
    <w:p>
      <w:r>
        <w:t>B. GEOGRAPHIC MARKETS</w:t>
      </w:r>
    </w:p>
    <w:p>
      <w:r>
        <w:t>12. The decisional practice10 has considered that the markets for the provision of home healthcare services are of national size, given the existence of national regulation, a reimbursement system established at the national level11, as well as the presence of numerous providers of national scope.</w:t>
      </w:r>
    </w:p>
    <w:p>
      <w:r>
        <w:t>13. There is no need to revisit this market delineation within the framework of this decision.</w:t>
      </w:r>
    </w:p>
    <w:p>
      <w:r>
        <w:t>III. Competitive Analysis</w:t>
      </w:r>
    </w:p>
    <w:p>
      <w:r>
        <w:t>14. Following the transaction, the parties will be simultaneously present in the French markets for the provision of home healthcare services.</w:t>
      </w:r>
    </w:p>
    <w:p>
      <w:r>
        <w:t>15. The offer of home healthcare services is ensured by a wide diversity of actors, both from the private sector and the associative sector, and alongside numerous small structures, national-scale companies (Air Liquide, Isis Médical, Bastide, Nestlé Homecare, Homeperf, SOS Oxygène) or multi-regional (Vivisol, Linde, Caléa) have a fine network across the territory through a network of locally established agencies. The parties operate in these markets through 33 agencies of the IP Santé group and 30 agencies of the AMS group.</w:t>
      </w:r>
    </w:p>
    <w:p>
      <w:r>
        <w:t>16. In the overall market for the provision of home healthcare services, the parties will have a combined market share estimated at [5-10]% ([0-5]% for the IP Santé group and [0-5]% for AMS) and will continue to face competition from Air Liquide, which, with an estimated market share of 26%, is in a leading position ahead of associations that together represent about 20% of the market.</w:t>
      </w:r>
    </w:p>
    <w:p>
      <w:r>
        <w:t>17. In the respiratory services segment, the parties will have a combined market share of less than [5-10]% regardless of the sub-segmentations considered.</w:t>
      </w:r>
    </w:p>
    <w:p>
      <w:r>
        <w:t>9 See decision No. 12-DCC-123 cited above.</w:t>
      </w:r>
    </w:p>
    <w:p>
      <w:r>
        <w:t>10 See the aforementioned decisions.</w:t>
      </w:r>
    </w:p>
    <w:p>
      <w:r>
        <w:t>11 In the thematic study titled "Competition Law and Health," cited above, the Competition Authority recalled that "In the health sector, the broadest geographical market delineation covers the national territory, due to the necessity of taking into account the legislation of each Member State, and notably the purchasing and reimbursement policies regarding health of the country concerned" (p. 112 of the Competition Authority's report for 2008).</w:t>
      </w:r>
    </w:p>
    <w:p>
      <w:r>
        <w:t>18. In the non-respiratory services segment, the parties will have a combined market share of less than [10-20]% regardless of the sub-segmentations considered.</w:t>
      </w:r>
    </w:p>
    <w:p>
      <w:r>
        <w:t>19. Consequently, the transaction is not likely to harm competition in the markets for home healthcare services.</w:t>
      </w:r>
    </w:p>
    <w:p>
      <w:r>
        <w:t>DECIDES</w:t>
      </w:r>
    </w:p>
    <w:p>
      <w:r>
        <w:t>Sole Article: The transaction notified under number 15-203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