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https://www.autoritedelaconcurrence.fr/fr/decision-de-controle-des-concentrations/relative-la-prise-de-controle-exclusif-du-groupe-andre</w:t>
      </w:r>
    </w:p>
    <w:p>
      <w:r>
        <w:t>Pages translated : 2</w:t>
      </w:r>
    </w:p>
    <w:p/>
    <w:p>
      <w:r>
        <w:rPr>
          <w:b/>
        </w:rPr>
        <w:t>[Pages 1–2]</w:t>
      </w:r>
    </w:p>
    <w:p>
      <w:r>
        <w:t xml:space="preserve">REPUBLIC OF FRANCE  </w:t>
        <w:br/>
        <w:t xml:space="preserve">Decision No. 25-DCC-302 of November 27, 2025  </w:t>
        <w:br/>
        <w:t xml:space="preserve">regarding the exclusive control acquisition of the André Bazin group  </w:t>
        <w:br/>
        <w:t xml:space="preserve">by the Arcado group  </w:t>
        <w:br/>
        <w:t>The Competition Authority,</w:t>
      </w:r>
    </w:p>
    <w:p>
      <w:r>
        <w:t>Having regard to the complete notification file submitted to the mergers department on November 7, 2025, concerning the exclusive control acquisition of La Financière Perna SAS and its subsidiary André Bazin SAS by Arcade SAS, the head of the Arcado group, formalized by an offer accepted on October 14, 2025;</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of La Financière Perna SAS and its subsidiary André Bazin SAS by Arcade SAS. The sector concerned by the operation is that of cured meats. This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