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https://www.autoritedelaconcurrence.fr/fr/decision-de-controle-des-concentrations/relative-la-prise-de-controle-exclusif-du-groupe-ange-par</w:t>
      </w:r>
    </w:p>
    <w:p>
      <w:r>
        <w:t>Pages translated : 2</w:t>
      </w:r>
    </w:p>
    <w:p/>
    <w:p>
      <w:r>
        <w:rPr>
          <w:b/>
        </w:rPr>
        <w:t>[Pages 1–2]</w:t>
      </w:r>
    </w:p>
    <w:p>
      <w:r>
        <w:t xml:space="preserve">FRENCH REPUBLIC  </w:t>
        <w:br/>
        <w:t xml:space="preserve">Decision No. 23-DCC-211 of October 13, 2023  </w:t>
        <w:br/>
        <w:t xml:space="preserve">regarding the exclusive control acquisition of the Ange group by the company  </w:t>
        <w:br/>
        <w:t xml:space="preserve">Lov &amp; Bread  </w:t>
        <w:br/>
        <w:t>The Competition Authority,</w:t>
      </w:r>
    </w:p>
    <w:p>
      <w:r>
        <w:t>Having regard to the complete notification file submitted to the mergers department on September 28, 2023, concerning the exclusive control acquisition of the Ange group by the company Lov &amp; Bread, formalized by a memorandum of understanding dated July 21, 2023;</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company Lov &amp; Bread of the Ange group, operating directly or through franchise, a network of bakery-pastry sales outlets under the Ange brand.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23-231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